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929"/>
        <w:tblW w:w="7328" w:type="dxa"/>
        <w:tblLook w:val="01E0" w:firstRow="1" w:lastRow="1" w:firstColumn="1" w:lastColumn="1" w:noHBand="0" w:noVBand="0"/>
      </w:tblPr>
      <w:tblGrid>
        <w:gridCol w:w="7328"/>
      </w:tblGrid>
      <w:tr w:rsidR="00E275E2" w:rsidRPr="004048D3" w14:paraId="19D3565D" w14:textId="77777777" w:rsidTr="00E275E2">
        <w:trPr>
          <w:trHeight w:val="535"/>
        </w:trPr>
        <w:tc>
          <w:tcPr>
            <w:tcW w:w="7328" w:type="dxa"/>
          </w:tcPr>
          <w:p w14:paraId="064B8253" w14:textId="77777777" w:rsidR="00E275E2" w:rsidRPr="004048D3" w:rsidRDefault="00E275E2" w:rsidP="00E275E2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048D3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F512E8E" wp14:editId="7873DFAA">
                  <wp:extent cx="1457325" cy="4191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75E2" w:rsidRPr="004048D3" w14:paraId="6059CDE3" w14:textId="77777777" w:rsidTr="00E275E2">
        <w:trPr>
          <w:trHeight w:val="446"/>
        </w:trPr>
        <w:tc>
          <w:tcPr>
            <w:tcW w:w="7328" w:type="dxa"/>
          </w:tcPr>
          <w:p w14:paraId="5BA4E7B4" w14:textId="18FAF42C" w:rsidR="00E275E2" w:rsidRPr="004048D3" w:rsidRDefault="00E275E2" w:rsidP="00E275E2">
            <w:pPr>
              <w:pStyle w:val="Header"/>
              <w:ind w:left="12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en-GB"/>
              </w:rPr>
            </w:pPr>
            <w:r w:rsidRPr="004048D3">
              <w:rPr>
                <w:rFonts w:ascii="Arial" w:hAnsi="Arial" w:cs="Arial"/>
                <w:b/>
                <w:bCs/>
                <w:sz w:val="22"/>
                <w:szCs w:val="24"/>
                <w:lang w:val="en-GB"/>
              </w:rPr>
              <w:t xml:space="preserve">Automotive Component Manufacturers Association </w:t>
            </w:r>
            <w:r w:rsidR="007173A8">
              <w:rPr>
                <w:rFonts w:ascii="Arial" w:hAnsi="Arial" w:cs="Arial"/>
                <w:b/>
                <w:bCs/>
                <w:sz w:val="22"/>
                <w:szCs w:val="24"/>
                <w:lang w:val="en-GB"/>
              </w:rPr>
              <w:t>o</w:t>
            </w:r>
            <w:r w:rsidRPr="004048D3">
              <w:rPr>
                <w:rFonts w:ascii="Arial" w:hAnsi="Arial" w:cs="Arial"/>
                <w:b/>
                <w:bCs/>
                <w:sz w:val="22"/>
                <w:szCs w:val="24"/>
                <w:lang w:val="en-GB"/>
              </w:rPr>
              <w:t>f India</w:t>
            </w:r>
          </w:p>
        </w:tc>
      </w:tr>
    </w:tbl>
    <w:p w14:paraId="703C7413" w14:textId="77777777" w:rsidR="00714A2F" w:rsidRPr="004048D3" w:rsidRDefault="00714A2F" w:rsidP="003A3995">
      <w:pPr>
        <w:rPr>
          <w:rFonts w:ascii="Arial" w:hAnsi="Arial" w:cs="Arial"/>
          <w:b/>
          <w:sz w:val="28"/>
          <w:szCs w:val="32"/>
          <w:u w:val="single"/>
          <w:lang w:val="en-GB"/>
        </w:rPr>
      </w:pPr>
    </w:p>
    <w:p w14:paraId="5A3DEB58" w14:textId="77777777" w:rsidR="00A02DB2" w:rsidRPr="004048D3" w:rsidRDefault="00A02DB2" w:rsidP="00A520CE">
      <w:pPr>
        <w:jc w:val="center"/>
        <w:rPr>
          <w:rFonts w:asciiTheme="minorHAnsi" w:hAnsiTheme="minorHAnsi" w:cs="Arial"/>
          <w:b/>
          <w:sz w:val="28"/>
          <w:szCs w:val="32"/>
          <w:u w:val="single"/>
          <w:lang w:val="en-GB"/>
        </w:rPr>
      </w:pPr>
      <w:r w:rsidRPr="004048D3">
        <w:rPr>
          <w:rFonts w:asciiTheme="minorHAnsi" w:hAnsiTheme="minorHAnsi" w:cs="Arial"/>
          <w:b/>
          <w:sz w:val="28"/>
          <w:szCs w:val="32"/>
          <w:u w:val="single"/>
          <w:lang w:val="en-GB"/>
        </w:rPr>
        <w:t>Press Release</w:t>
      </w:r>
    </w:p>
    <w:p w14:paraId="147A8549" w14:textId="77777777" w:rsidR="00A02DB2" w:rsidRPr="004048D3" w:rsidRDefault="00A02DB2" w:rsidP="00A02DB2">
      <w:pPr>
        <w:jc w:val="center"/>
        <w:rPr>
          <w:rFonts w:asciiTheme="minorHAnsi" w:hAnsiTheme="minorHAnsi" w:cs="Arial"/>
          <w:b/>
          <w:sz w:val="32"/>
          <w:szCs w:val="32"/>
          <w:u w:val="single"/>
          <w:lang w:val="en-GB"/>
        </w:rPr>
      </w:pPr>
    </w:p>
    <w:p w14:paraId="3B57EDBA" w14:textId="2B411844" w:rsidR="004D6AE6" w:rsidRPr="004048D3" w:rsidRDefault="004D6AE6" w:rsidP="004D6AE6">
      <w:pPr>
        <w:jc w:val="center"/>
        <w:rPr>
          <w:rFonts w:asciiTheme="minorHAnsi" w:hAnsiTheme="minorHAnsi" w:cs="Arial"/>
          <w:b/>
          <w:sz w:val="26"/>
          <w:szCs w:val="26"/>
          <w:lang w:val="en-GB"/>
        </w:rPr>
      </w:pPr>
      <w:r w:rsidRPr="004048D3">
        <w:rPr>
          <w:rFonts w:asciiTheme="minorHAnsi" w:hAnsiTheme="minorHAnsi" w:cs="Arial"/>
          <w:b/>
          <w:sz w:val="26"/>
          <w:szCs w:val="26"/>
          <w:lang w:val="en-GB"/>
        </w:rPr>
        <w:t xml:space="preserve">Indian Auto Component Industry </w:t>
      </w:r>
      <w:r w:rsidR="00FD060D" w:rsidRPr="004048D3">
        <w:rPr>
          <w:rFonts w:asciiTheme="minorHAnsi" w:hAnsiTheme="minorHAnsi" w:cs="Arial"/>
          <w:b/>
          <w:sz w:val="26"/>
          <w:szCs w:val="26"/>
          <w:lang w:val="en-GB"/>
        </w:rPr>
        <w:t xml:space="preserve">grows </w:t>
      </w:r>
      <w:r w:rsidR="00FD060D">
        <w:rPr>
          <w:rFonts w:asciiTheme="minorHAnsi" w:hAnsiTheme="minorHAnsi" w:cs="Arial"/>
          <w:b/>
          <w:sz w:val="26"/>
          <w:szCs w:val="26"/>
          <w:lang w:val="en-GB"/>
        </w:rPr>
        <w:t>6</w:t>
      </w:r>
      <w:r w:rsidR="00B52607">
        <w:rPr>
          <w:rFonts w:asciiTheme="minorHAnsi" w:hAnsiTheme="minorHAnsi" w:cs="Arial"/>
          <w:b/>
          <w:sz w:val="26"/>
          <w:szCs w:val="26"/>
          <w:lang w:val="en-GB"/>
        </w:rPr>
        <w:t>5</w:t>
      </w:r>
      <w:r w:rsidR="00FD060D" w:rsidRPr="004048D3">
        <w:rPr>
          <w:rFonts w:asciiTheme="minorHAnsi" w:hAnsiTheme="minorHAnsi" w:cs="Arial"/>
          <w:b/>
          <w:sz w:val="26"/>
          <w:szCs w:val="26"/>
          <w:lang w:val="en-GB"/>
        </w:rPr>
        <w:t xml:space="preserve"> per cent </w:t>
      </w:r>
      <w:r w:rsidR="00FD060D">
        <w:rPr>
          <w:rFonts w:asciiTheme="minorHAnsi" w:hAnsiTheme="minorHAnsi" w:cs="Arial"/>
          <w:b/>
          <w:sz w:val="26"/>
          <w:szCs w:val="26"/>
          <w:lang w:val="en-GB"/>
        </w:rPr>
        <w:t>to</w:t>
      </w:r>
      <w:r w:rsidRPr="004048D3">
        <w:rPr>
          <w:rFonts w:asciiTheme="minorHAnsi" w:hAnsiTheme="minorHAnsi" w:cs="Arial"/>
          <w:b/>
          <w:sz w:val="26"/>
          <w:szCs w:val="26"/>
          <w:lang w:val="en-GB"/>
        </w:rPr>
        <w:t xml:space="preserve"> Rs. </w:t>
      </w:r>
      <w:r w:rsidR="00AA7D2C">
        <w:rPr>
          <w:rFonts w:asciiTheme="minorHAnsi" w:hAnsiTheme="minorHAnsi" w:cs="Arial"/>
          <w:b/>
          <w:sz w:val="26"/>
          <w:szCs w:val="26"/>
          <w:lang w:val="en-GB"/>
        </w:rPr>
        <w:t>1.</w:t>
      </w:r>
      <w:r w:rsidR="00A24430">
        <w:rPr>
          <w:rFonts w:asciiTheme="minorHAnsi" w:hAnsiTheme="minorHAnsi" w:cs="Arial"/>
          <w:b/>
          <w:sz w:val="26"/>
          <w:szCs w:val="26"/>
          <w:lang w:val="en-GB"/>
        </w:rPr>
        <w:t>96</w:t>
      </w:r>
      <w:r w:rsidRPr="004048D3">
        <w:rPr>
          <w:rFonts w:asciiTheme="minorHAnsi" w:hAnsiTheme="minorHAnsi" w:cs="Arial"/>
          <w:b/>
          <w:sz w:val="26"/>
          <w:szCs w:val="26"/>
          <w:lang w:val="en-GB"/>
        </w:rPr>
        <w:t xml:space="preserve"> lakh </w:t>
      </w:r>
      <w:r w:rsidR="00D64702" w:rsidRPr="004048D3">
        <w:rPr>
          <w:rFonts w:asciiTheme="minorHAnsi" w:hAnsiTheme="minorHAnsi" w:cs="Arial"/>
          <w:b/>
          <w:sz w:val="26"/>
          <w:szCs w:val="26"/>
          <w:lang w:val="en-GB"/>
        </w:rPr>
        <w:t xml:space="preserve">crore </w:t>
      </w:r>
      <w:r w:rsidRPr="004048D3">
        <w:rPr>
          <w:rFonts w:asciiTheme="minorHAnsi" w:hAnsiTheme="minorHAnsi" w:cs="Arial"/>
          <w:b/>
          <w:sz w:val="26"/>
          <w:szCs w:val="26"/>
          <w:lang w:val="en-GB"/>
        </w:rPr>
        <w:t xml:space="preserve">(USD </w:t>
      </w:r>
      <w:r w:rsidR="00A24430">
        <w:rPr>
          <w:rFonts w:asciiTheme="minorHAnsi" w:hAnsiTheme="minorHAnsi" w:cs="Arial"/>
          <w:b/>
          <w:sz w:val="26"/>
          <w:szCs w:val="26"/>
          <w:lang w:val="en-GB"/>
        </w:rPr>
        <w:t>26.6</w:t>
      </w:r>
      <w:r w:rsidRPr="004048D3">
        <w:rPr>
          <w:rFonts w:asciiTheme="minorHAnsi" w:hAnsiTheme="minorHAnsi" w:cs="Arial"/>
          <w:b/>
          <w:sz w:val="26"/>
          <w:szCs w:val="26"/>
          <w:lang w:val="en-GB"/>
        </w:rPr>
        <w:t xml:space="preserve"> billion) in first</w:t>
      </w:r>
      <w:r w:rsidR="00AA7D2C">
        <w:rPr>
          <w:rFonts w:asciiTheme="minorHAnsi" w:hAnsiTheme="minorHAnsi" w:cs="Arial"/>
          <w:b/>
          <w:sz w:val="26"/>
          <w:szCs w:val="26"/>
          <w:lang w:val="en-GB"/>
        </w:rPr>
        <w:t>-</w:t>
      </w:r>
      <w:r w:rsidRPr="004048D3">
        <w:rPr>
          <w:rFonts w:asciiTheme="minorHAnsi" w:hAnsiTheme="minorHAnsi" w:cs="Arial"/>
          <w:b/>
          <w:sz w:val="26"/>
          <w:szCs w:val="26"/>
          <w:lang w:val="en-GB"/>
        </w:rPr>
        <w:t>half of 20</w:t>
      </w:r>
      <w:r w:rsidR="007B0406" w:rsidRPr="004048D3">
        <w:rPr>
          <w:rFonts w:asciiTheme="minorHAnsi" w:hAnsiTheme="minorHAnsi" w:cs="Arial"/>
          <w:b/>
          <w:sz w:val="26"/>
          <w:szCs w:val="26"/>
          <w:lang w:val="en-GB"/>
        </w:rPr>
        <w:t>21</w:t>
      </w:r>
      <w:r w:rsidR="00AA7D2C">
        <w:rPr>
          <w:rFonts w:asciiTheme="minorHAnsi" w:hAnsiTheme="minorHAnsi" w:cs="Arial"/>
          <w:b/>
          <w:sz w:val="26"/>
          <w:szCs w:val="26"/>
          <w:lang w:val="en-GB"/>
        </w:rPr>
        <w:t>-22</w:t>
      </w:r>
    </w:p>
    <w:p w14:paraId="3747D8DB" w14:textId="77777777" w:rsidR="004D6AE6" w:rsidRPr="004048D3" w:rsidRDefault="004D6AE6" w:rsidP="00EE521D">
      <w:pPr>
        <w:jc w:val="center"/>
        <w:rPr>
          <w:rFonts w:asciiTheme="minorHAnsi" w:hAnsiTheme="minorHAnsi" w:cs="Arial"/>
          <w:b/>
          <w:sz w:val="26"/>
          <w:szCs w:val="26"/>
          <w:lang w:val="en-GB"/>
        </w:rPr>
      </w:pPr>
      <w:r w:rsidRPr="004048D3">
        <w:rPr>
          <w:rFonts w:asciiTheme="minorHAnsi" w:hAnsiTheme="minorHAnsi" w:cs="Arial"/>
          <w:b/>
          <w:sz w:val="26"/>
          <w:szCs w:val="26"/>
          <w:lang w:val="en-GB"/>
        </w:rPr>
        <w:t xml:space="preserve"> </w:t>
      </w:r>
    </w:p>
    <w:p w14:paraId="711318F3" w14:textId="3115E428" w:rsidR="007B0406" w:rsidRPr="004048D3" w:rsidRDefault="007B0406" w:rsidP="007B0406">
      <w:pPr>
        <w:numPr>
          <w:ilvl w:val="0"/>
          <w:numId w:val="1"/>
        </w:numPr>
        <w:rPr>
          <w:rFonts w:asciiTheme="minorHAnsi" w:hAnsiTheme="minorHAnsi" w:cs="Arial"/>
          <w:b/>
          <w:sz w:val="24"/>
          <w:szCs w:val="24"/>
          <w:lang w:val="en-GB"/>
        </w:rPr>
      </w:pPr>
      <w:r w:rsidRPr="004048D3">
        <w:rPr>
          <w:rFonts w:asciiTheme="minorHAnsi" w:hAnsiTheme="minorHAnsi" w:cs="Arial"/>
          <w:b/>
          <w:i/>
          <w:sz w:val="24"/>
          <w:szCs w:val="28"/>
          <w:lang w:val="en-GB"/>
        </w:rPr>
        <w:t xml:space="preserve">Industry net foreign exchange positive </w:t>
      </w:r>
      <w:r w:rsidR="00AA7D2C">
        <w:rPr>
          <w:rFonts w:asciiTheme="minorHAnsi" w:hAnsiTheme="minorHAnsi" w:cs="Arial"/>
          <w:b/>
          <w:i/>
          <w:sz w:val="24"/>
          <w:szCs w:val="28"/>
          <w:lang w:val="en-GB"/>
        </w:rPr>
        <w:t xml:space="preserve"> </w:t>
      </w:r>
    </w:p>
    <w:p w14:paraId="1A7B17B1" w14:textId="45D99954" w:rsidR="007B0406" w:rsidRPr="004048D3" w:rsidRDefault="004D6AE6" w:rsidP="007B0406">
      <w:pPr>
        <w:pStyle w:val="ListParagraph"/>
        <w:numPr>
          <w:ilvl w:val="0"/>
          <w:numId w:val="9"/>
        </w:numPr>
        <w:ind w:left="1276" w:hanging="196"/>
        <w:rPr>
          <w:rFonts w:asciiTheme="minorHAnsi" w:hAnsiTheme="minorHAnsi" w:cs="Arial"/>
          <w:b/>
          <w:i/>
          <w:sz w:val="24"/>
          <w:szCs w:val="28"/>
          <w:lang w:val="en-GB"/>
        </w:rPr>
      </w:pPr>
      <w:r w:rsidRPr="004048D3">
        <w:rPr>
          <w:rFonts w:asciiTheme="minorHAnsi" w:hAnsiTheme="minorHAnsi" w:cs="Arial"/>
          <w:b/>
          <w:i/>
          <w:sz w:val="24"/>
          <w:szCs w:val="28"/>
          <w:lang w:val="en-GB"/>
        </w:rPr>
        <w:t>Exports</w:t>
      </w:r>
      <w:r w:rsidR="00402555" w:rsidRPr="004048D3">
        <w:rPr>
          <w:rFonts w:asciiTheme="minorHAnsi" w:hAnsiTheme="minorHAnsi" w:cs="Arial"/>
          <w:b/>
          <w:i/>
          <w:sz w:val="24"/>
          <w:szCs w:val="28"/>
          <w:lang w:val="en-GB"/>
        </w:rPr>
        <w:t xml:space="preserve"> </w:t>
      </w:r>
      <w:r w:rsidR="007B0406" w:rsidRPr="004048D3">
        <w:rPr>
          <w:rFonts w:asciiTheme="minorHAnsi" w:hAnsiTheme="minorHAnsi" w:cs="Arial"/>
          <w:b/>
          <w:i/>
          <w:sz w:val="24"/>
          <w:szCs w:val="28"/>
          <w:lang w:val="en-GB"/>
        </w:rPr>
        <w:t>at Rs.</w:t>
      </w:r>
      <w:r w:rsidR="00AA7D2C">
        <w:rPr>
          <w:rFonts w:asciiTheme="minorHAnsi" w:hAnsiTheme="minorHAnsi" w:cs="Arial"/>
          <w:b/>
          <w:i/>
          <w:sz w:val="24"/>
          <w:szCs w:val="28"/>
          <w:lang w:val="en-GB"/>
        </w:rPr>
        <w:t>68,746</w:t>
      </w:r>
      <w:r w:rsidR="007B0406" w:rsidRPr="004048D3">
        <w:rPr>
          <w:rFonts w:asciiTheme="minorHAnsi" w:hAnsiTheme="minorHAnsi" w:cs="Arial"/>
          <w:b/>
          <w:i/>
          <w:sz w:val="24"/>
          <w:szCs w:val="28"/>
          <w:lang w:val="en-GB"/>
        </w:rPr>
        <w:t xml:space="preserve"> crore (USD </w:t>
      </w:r>
      <w:r w:rsidR="00AA7D2C">
        <w:rPr>
          <w:rFonts w:asciiTheme="minorHAnsi" w:hAnsiTheme="minorHAnsi" w:cs="Arial"/>
          <w:b/>
          <w:iCs/>
          <w:sz w:val="24"/>
          <w:szCs w:val="28"/>
          <w:lang w:val="en-GB"/>
        </w:rPr>
        <w:t>9.3</w:t>
      </w:r>
      <w:r w:rsidR="007B0406" w:rsidRPr="004048D3">
        <w:rPr>
          <w:rFonts w:asciiTheme="minorHAnsi" w:hAnsiTheme="minorHAnsi" w:cs="Arial"/>
          <w:b/>
          <w:i/>
          <w:sz w:val="24"/>
          <w:szCs w:val="28"/>
          <w:lang w:val="en-GB"/>
        </w:rPr>
        <w:t xml:space="preserve"> billion) </w:t>
      </w:r>
      <w:r w:rsidR="00AA7D2C">
        <w:rPr>
          <w:rFonts w:asciiTheme="minorHAnsi" w:hAnsiTheme="minorHAnsi" w:cs="Arial"/>
          <w:b/>
          <w:i/>
          <w:sz w:val="24"/>
          <w:szCs w:val="28"/>
          <w:lang w:val="en-GB"/>
        </w:rPr>
        <w:t>grow</w:t>
      </w:r>
      <w:r w:rsidR="007B0406" w:rsidRPr="004048D3">
        <w:rPr>
          <w:rFonts w:asciiTheme="minorHAnsi" w:hAnsiTheme="minorHAnsi" w:cs="Arial"/>
          <w:b/>
          <w:i/>
          <w:sz w:val="24"/>
          <w:szCs w:val="28"/>
          <w:lang w:val="en-GB"/>
        </w:rPr>
        <w:t xml:space="preserve"> by</w:t>
      </w:r>
      <w:r w:rsidRPr="004048D3">
        <w:rPr>
          <w:rFonts w:asciiTheme="minorHAnsi" w:hAnsiTheme="minorHAnsi" w:cs="Arial"/>
          <w:b/>
          <w:i/>
          <w:sz w:val="24"/>
          <w:szCs w:val="28"/>
          <w:lang w:val="en-GB"/>
        </w:rPr>
        <w:t xml:space="preserve"> </w:t>
      </w:r>
      <w:r w:rsidR="00AA7D2C">
        <w:rPr>
          <w:rFonts w:asciiTheme="minorHAnsi" w:hAnsiTheme="minorHAnsi" w:cs="Arial"/>
          <w:b/>
          <w:i/>
          <w:sz w:val="24"/>
          <w:szCs w:val="28"/>
          <w:lang w:val="en-GB"/>
        </w:rPr>
        <w:t>7</w:t>
      </w:r>
      <w:r w:rsidR="00B52607">
        <w:rPr>
          <w:rFonts w:asciiTheme="minorHAnsi" w:hAnsiTheme="minorHAnsi" w:cs="Arial"/>
          <w:b/>
          <w:i/>
          <w:sz w:val="24"/>
          <w:szCs w:val="28"/>
          <w:lang w:val="en-GB"/>
        </w:rPr>
        <w:t>6</w:t>
      </w:r>
      <w:r w:rsidRPr="004048D3">
        <w:rPr>
          <w:rFonts w:asciiTheme="minorHAnsi" w:hAnsiTheme="minorHAnsi" w:cs="Arial"/>
          <w:b/>
          <w:i/>
          <w:sz w:val="24"/>
          <w:szCs w:val="28"/>
          <w:lang w:val="en-GB"/>
        </w:rPr>
        <w:t xml:space="preserve"> per cent </w:t>
      </w:r>
      <w:r w:rsidR="007B0406" w:rsidRPr="004048D3">
        <w:rPr>
          <w:rFonts w:asciiTheme="minorHAnsi" w:hAnsiTheme="minorHAnsi" w:cs="Arial"/>
          <w:b/>
          <w:i/>
          <w:sz w:val="24"/>
          <w:szCs w:val="28"/>
          <w:lang w:val="en-GB"/>
        </w:rPr>
        <w:t xml:space="preserve"> </w:t>
      </w:r>
    </w:p>
    <w:p w14:paraId="3BCFC0BC" w14:textId="617826B1" w:rsidR="007B0406" w:rsidRPr="00601037" w:rsidRDefault="007B0406" w:rsidP="00580D0A">
      <w:pPr>
        <w:pStyle w:val="ListParagraph"/>
        <w:numPr>
          <w:ilvl w:val="0"/>
          <w:numId w:val="9"/>
        </w:numPr>
        <w:ind w:left="1276" w:hanging="196"/>
        <w:rPr>
          <w:rFonts w:asciiTheme="minorHAnsi" w:hAnsiTheme="minorHAnsi" w:cs="Arial"/>
          <w:b/>
          <w:i/>
          <w:sz w:val="24"/>
          <w:szCs w:val="28"/>
          <w:lang w:val="en-GB"/>
        </w:rPr>
      </w:pPr>
      <w:r w:rsidRPr="004048D3">
        <w:rPr>
          <w:rFonts w:asciiTheme="minorHAnsi" w:hAnsiTheme="minorHAnsi" w:cs="Arial"/>
          <w:b/>
          <w:i/>
          <w:sz w:val="24"/>
          <w:szCs w:val="28"/>
          <w:lang w:val="en-GB"/>
        </w:rPr>
        <w:t>Impo</w:t>
      </w:r>
      <w:r w:rsidR="004048D3" w:rsidRPr="004048D3">
        <w:rPr>
          <w:rFonts w:asciiTheme="minorHAnsi" w:hAnsiTheme="minorHAnsi" w:cs="Arial"/>
          <w:b/>
          <w:i/>
          <w:sz w:val="24"/>
          <w:szCs w:val="28"/>
          <w:lang w:val="en-GB"/>
        </w:rPr>
        <w:t>r</w:t>
      </w:r>
      <w:r w:rsidRPr="004048D3">
        <w:rPr>
          <w:rFonts w:asciiTheme="minorHAnsi" w:hAnsiTheme="minorHAnsi" w:cs="Arial"/>
          <w:b/>
          <w:i/>
          <w:sz w:val="24"/>
          <w:szCs w:val="28"/>
          <w:lang w:val="en-GB"/>
        </w:rPr>
        <w:t>ts at Rs.</w:t>
      </w:r>
      <w:r w:rsidR="00AA7D2C">
        <w:rPr>
          <w:rFonts w:asciiTheme="minorHAnsi" w:hAnsiTheme="minorHAnsi" w:cs="Arial"/>
          <w:b/>
          <w:i/>
          <w:sz w:val="24"/>
          <w:szCs w:val="28"/>
          <w:lang w:val="en-GB"/>
        </w:rPr>
        <w:t>64,310</w:t>
      </w:r>
      <w:r w:rsidRPr="004048D3">
        <w:rPr>
          <w:rFonts w:asciiTheme="minorHAnsi" w:hAnsiTheme="minorHAnsi" w:cs="Arial"/>
          <w:b/>
          <w:i/>
          <w:sz w:val="24"/>
          <w:szCs w:val="28"/>
          <w:lang w:val="en-GB"/>
        </w:rPr>
        <w:t xml:space="preserve"> crore (USD </w:t>
      </w:r>
      <w:r w:rsidR="00AA7D2C">
        <w:rPr>
          <w:rFonts w:asciiTheme="minorHAnsi" w:hAnsiTheme="minorHAnsi" w:cs="Arial"/>
          <w:b/>
          <w:iCs/>
          <w:sz w:val="24"/>
          <w:szCs w:val="28"/>
          <w:lang w:val="en-GB"/>
        </w:rPr>
        <w:t>8.7</w:t>
      </w:r>
      <w:r w:rsidRPr="004048D3">
        <w:rPr>
          <w:rFonts w:asciiTheme="minorHAnsi" w:hAnsiTheme="minorHAnsi" w:cs="Arial"/>
          <w:b/>
          <w:i/>
          <w:sz w:val="24"/>
          <w:szCs w:val="28"/>
          <w:lang w:val="en-GB"/>
        </w:rPr>
        <w:t xml:space="preserve"> billion) </w:t>
      </w:r>
      <w:r w:rsidR="00AA7D2C">
        <w:rPr>
          <w:rFonts w:asciiTheme="minorHAnsi" w:hAnsiTheme="minorHAnsi" w:cs="Arial"/>
          <w:b/>
          <w:i/>
          <w:sz w:val="24"/>
          <w:szCs w:val="28"/>
          <w:lang w:val="en-GB"/>
        </w:rPr>
        <w:t>grow</w:t>
      </w:r>
      <w:r w:rsidRPr="004048D3">
        <w:rPr>
          <w:rFonts w:asciiTheme="minorHAnsi" w:hAnsiTheme="minorHAnsi" w:cs="Arial"/>
          <w:b/>
          <w:i/>
          <w:sz w:val="24"/>
          <w:szCs w:val="28"/>
          <w:lang w:val="en-GB"/>
        </w:rPr>
        <w:t xml:space="preserve"> by </w:t>
      </w:r>
      <w:r w:rsidR="00A24430">
        <w:rPr>
          <w:rFonts w:asciiTheme="minorHAnsi" w:hAnsiTheme="minorHAnsi" w:cs="Arial"/>
          <w:b/>
          <w:i/>
          <w:sz w:val="24"/>
          <w:szCs w:val="28"/>
          <w:lang w:val="en-GB"/>
        </w:rPr>
        <w:t>7</w:t>
      </w:r>
      <w:r w:rsidR="00B52607">
        <w:rPr>
          <w:rFonts w:asciiTheme="minorHAnsi" w:hAnsiTheme="minorHAnsi" w:cs="Arial"/>
          <w:b/>
          <w:i/>
          <w:sz w:val="24"/>
          <w:szCs w:val="28"/>
          <w:lang w:val="en-GB"/>
        </w:rPr>
        <w:t>1</w:t>
      </w:r>
      <w:r w:rsidRPr="004048D3">
        <w:rPr>
          <w:rFonts w:asciiTheme="minorHAnsi" w:hAnsiTheme="minorHAnsi" w:cs="Arial"/>
          <w:b/>
          <w:i/>
          <w:sz w:val="24"/>
          <w:szCs w:val="28"/>
          <w:lang w:val="en-GB"/>
        </w:rPr>
        <w:t xml:space="preserve"> per cent</w:t>
      </w:r>
    </w:p>
    <w:p w14:paraId="0DA7CF3B" w14:textId="737CB773" w:rsidR="00601037" w:rsidRDefault="00580D0A" w:rsidP="00580D0A">
      <w:pPr>
        <w:numPr>
          <w:ilvl w:val="0"/>
          <w:numId w:val="1"/>
        </w:numPr>
        <w:rPr>
          <w:rFonts w:asciiTheme="minorHAnsi" w:hAnsiTheme="minorHAnsi" w:cs="Arial"/>
          <w:b/>
          <w:i/>
          <w:sz w:val="24"/>
          <w:szCs w:val="28"/>
          <w:lang w:val="en-GB"/>
        </w:rPr>
      </w:pPr>
      <w:r w:rsidRPr="008D4C02">
        <w:rPr>
          <w:rFonts w:asciiTheme="minorHAnsi" w:hAnsiTheme="minorHAnsi" w:cs="Arial"/>
          <w:b/>
          <w:i/>
          <w:sz w:val="24"/>
          <w:szCs w:val="28"/>
          <w:lang w:val="en-GB"/>
        </w:rPr>
        <w:t xml:space="preserve">Industry cautiously-optimist about near to mid-term future </w:t>
      </w:r>
      <w:r w:rsidR="00FD060D">
        <w:rPr>
          <w:rFonts w:asciiTheme="minorHAnsi" w:hAnsiTheme="minorHAnsi" w:cs="Arial"/>
          <w:b/>
          <w:i/>
          <w:sz w:val="24"/>
          <w:szCs w:val="28"/>
          <w:lang w:val="en-GB"/>
        </w:rPr>
        <w:t xml:space="preserve"> </w:t>
      </w:r>
    </w:p>
    <w:p w14:paraId="23506E08" w14:textId="625EA283" w:rsidR="00580D0A" w:rsidRPr="008D4C02" w:rsidRDefault="00601037" w:rsidP="00580D0A">
      <w:pPr>
        <w:numPr>
          <w:ilvl w:val="0"/>
          <w:numId w:val="1"/>
        </w:numPr>
        <w:rPr>
          <w:rFonts w:asciiTheme="minorHAnsi" w:hAnsiTheme="minorHAnsi" w:cs="Arial"/>
          <w:b/>
          <w:i/>
          <w:sz w:val="24"/>
          <w:szCs w:val="28"/>
          <w:lang w:val="en-GB"/>
        </w:rPr>
      </w:pPr>
      <w:r>
        <w:rPr>
          <w:rFonts w:asciiTheme="minorHAnsi" w:hAnsiTheme="minorHAnsi" w:cs="Arial"/>
          <w:b/>
          <w:i/>
          <w:sz w:val="24"/>
          <w:szCs w:val="28"/>
          <w:lang w:val="en-GB"/>
        </w:rPr>
        <w:t xml:space="preserve">Most </w:t>
      </w:r>
      <w:r w:rsidR="00FD060D">
        <w:rPr>
          <w:rFonts w:asciiTheme="minorHAnsi" w:hAnsiTheme="minorHAnsi" w:cs="Arial"/>
          <w:b/>
          <w:i/>
          <w:sz w:val="24"/>
          <w:szCs w:val="28"/>
          <w:lang w:val="en-GB"/>
        </w:rPr>
        <w:t xml:space="preserve">auto </w:t>
      </w:r>
      <w:r>
        <w:rPr>
          <w:rFonts w:asciiTheme="minorHAnsi" w:hAnsiTheme="minorHAnsi" w:cs="Arial"/>
          <w:b/>
          <w:i/>
          <w:sz w:val="24"/>
          <w:szCs w:val="28"/>
          <w:lang w:val="en-GB"/>
        </w:rPr>
        <w:t xml:space="preserve">component </w:t>
      </w:r>
      <w:r w:rsidR="00FD060D">
        <w:rPr>
          <w:rFonts w:asciiTheme="minorHAnsi" w:hAnsiTheme="minorHAnsi" w:cs="Arial"/>
          <w:b/>
          <w:i/>
          <w:sz w:val="24"/>
          <w:szCs w:val="28"/>
          <w:lang w:val="en-GB"/>
        </w:rPr>
        <w:t>manufacturers</w:t>
      </w:r>
      <w:r>
        <w:rPr>
          <w:rFonts w:asciiTheme="minorHAnsi" w:hAnsiTheme="minorHAnsi" w:cs="Arial"/>
          <w:b/>
          <w:i/>
          <w:sz w:val="24"/>
          <w:szCs w:val="28"/>
          <w:lang w:val="en-GB"/>
        </w:rPr>
        <w:t xml:space="preserve"> are </w:t>
      </w:r>
      <w:r w:rsidR="000374C6">
        <w:rPr>
          <w:rFonts w:asciiTheme="minorHAnsi" w:hAnsiTheme="minorHAnsi" w:cs="Arial"/>
          <w:b/>
          <w:i/>
          <w:sz w:val="24"/>
          <w:szCs w:val="28"/>
          <w:lang w:val="en-GB"/>
        </w:rPr>
        <w:t xml:space="preserve">preparing </w:t>
      </w:r>
      <w:r>
        <w:rPr>
          <w:rFonts w:asciiTheme="minorHAnsi" w:hAnsiTheme="minorHAnsi" w:cs="Arial"/>
          <w:b/>
          <w:i/>
          <w:sz w:val="24"/>
          <w:szCs w:val="28"/>
          <w:lang w:val="en-GB"/>
        </w:rPr>
        <w:t xml:space="preserve">to be part of EV supply chain </w:t>
      </w:r>
    </w:p>
    <w:p w14:paraId="5DFCCEB0" w14:textId="77777777" w:rsidR="00580D0A" w:rsidRDefault="00580D0A" w:rsidP="003E4B8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4"/>
          <w:szCs w:val="24"/>
          <w:lang w:val="en-GB"/>
        </w:rPr>
      </w:pPr>
    </w:p>
    <w:p w14:paraId="3B47AF28" w14:textId="67349F0A" w:rsidR="001F16CF" w:rsidRPr="004048D3" w:rsidRDefault="00A02DB2" w:rsidP="003E4B84">
      <w:pPr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</w:pPr>
      <w:r w:rsidRPr="004048D3">
        <w:rPr>
          <w:rFonts w:asciiTheme="minorHAnsi" w:hAnsiTheme="minorHAnsi" w:cs="Arial"/>
          <w:b/>
          <w:sz w:val="24"/>
          <w:szCs w:val="24"/>
          <w:lang w:val="en-GB"/>
        </w:rPr>
        <w:t xml:space="preserve">New Delhi; </w:t>
      </w:r>
      <w:r w:rsidR="00AA7D2C">
        <w:rPr>
          <w:rFonts w:asciiTheme="minorHAnsi" w:hAnsiTheme="minorHAnsi" w:cs="Arial"/>
          <w:b/>
          <w:sz w:val="24"/>
          <w:szCs w:val="24"/>
          <w:lang w:val="en-GB"/>
        </w:rPr>
        <w:t>21</w:t>
      </w:r>
      <w:r w:rsidR="004D6AE6" w:rsidRPr="004048D3">
        <w:rPr>
          <w:rFonts w:asciiTheme="minorHAnsi" w:hAnsiTheme="minorHAnsi" w:cs="Arial"/>
          <w:b/>
          <w:sz w:val="24"/>
          <w:szCs w:val="24"/>
          <w:lang w:val="en-GB"/>
        </w:rPr>
        <w:t xml:space="preserve"> December</w:t>
      </w:r>
      <w:r w:rsidR="00AA7D2C">
        <w:rPr>
          <w:rFonts w:asciiTheme="minorHAnsi" w:hAnsiTheme="minorHAnsi" w:cs="Arial"/>
          <w:b/>
          <w:sz w:val="24"/>
          <w:szCs w:val="24"/>
          <w:lang w:val="en-GB"/>
        </w:rPr>
        <w:t xml:space="preserve"> </w:t>
      </w:r>
      <w:r w:rsidR="004D6AE6" w:rsidRPr="004048D3">
        <w:rPr>
          <w:rFonts w:asciiTheme="minorHAnsi" w:hAnsiTheme="minorHAnsi" w:cs="Arial"/>
          <w:b/>
          <w:sz w:val="24"/>
          <w:szCs w:val="24"/>
          <w:lang w:val="en-GB"/>
        </w:rPr>
        <w:t>20</w:t>
      </w:r>
      <w:r w:rsidR="007B0406" w:rsidRPr="004048D3">
        <w:rPr>
          <w:rFonts w:asciiTheme="minorHAnsi" w:hAnsiTheme="minorHAnsi" w:cs="Arial"/>
          <w:b/>
          <w:sz w:val="24"/>
          <w:szCs w:val="24"/>
          <w:lang w:val="en-GB"/>
        </w:rPr>
        <w:t>2</w:t>
      </w:r>
      <w:r w:rsidR="00AA7D2C">
        <w:rPr>
          <w:rFonts w:asciiTheme="minorHAnsi" w:hAnsiTheme="minorHAnsi" w:cs="Arial"/>
          <w:b/>
          <w:sz w:val="24"/>
          <w:szCs w:val="24"/>
          <w:lang w:val="en-GB"/>
        </w:rPr>
        <w:t>1</w:t>
      </w:r>
      <w:r w:rsidRPr="004048D3">
        <w:rPr>
          <w:rFonts w:asciiTheme="minorHAnsi" w:hAnsiTheme="minorHAnsi" w:cs="Arial"/>
          <w:sz w:val="24"/>
          <w:szCs w:val="24"/>
          <w:lang w:val="en-GB"/>
        </w:rPr>
        <w:t xml:space="preserve">: </w:t>
      </w:r>
      <w:r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Automotive Component Manufacturers Association of India (ACMA), the apex body representing India’s Auto Component manufacturing industry today announced the findings of its Industry Performance</w:t>
      </w:r>
      <w:r w:rsidR="005D6691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Review for the</w:t>
      </w:r>
      <w:r w:rsidR="002802B6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first half of</w:t>
      </w:r>
      <w:r w:rsidR="005D6691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fiscal </w:t>
      </w:r>
      <w:r w:rsidR="00A2687F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20</w:t>
      </w:r>
      <w:r w:rsidR="007B0406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21</w:t>
      </w:r>
      <w:r w:rsidR="00A24430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-22</w:t>
      </w:r>
      <w:r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.</w:t>
      </w:r>
      <w:r w:rsidR="003E0889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The </w:t>
      </w:r>
      <w:r w:rsidR="008C7278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turnover of the </w:t>
      </w:r>
      <w:r w:rsidR="003E0889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automotive comp</w:t>
      </w:r>
      <w:r w:rsidR="004F7C15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onent industry </w:t>
      </w:r>
      <w:r w:rsidR="005324FC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stoo</w:t>
      </w:r>
      <w:r w:rsidR="003E0889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d at Rs.</w:t>
      </w:r>
      <w:r w:rsidR="00A24430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1.96</w:t>
      </w:r>
      <w:r w:rsidR="003E0889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lakh crore (USD </w:t>
      </w:r>
      <w:r w:rsidR="00A24430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26.6</w:t>
      </w:r>
      <w:r w:rsidR="003E0889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billion) for the period April </w:t>
      </w:r>
      <w:r w:rsidR="00BE39D8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20</w:t>
      </w:r>
      <w:r w:rsidR="007B0406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2</w:t>
      </w:r>
      <w:r w:rsidR="00A24430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1</w:t>
      </w:r>
      <w:r w:rsidR="007B0406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BE39D8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to </w:t>
      </w:r>
      <w:r w:rsidR="002802B6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September</w:t>
      </w:r>
      <w:r w:rsidR="00BE39D8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20</w:t>
      </w:r>
      <w:r w:rsidR="007B0406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2</w:t>
      </w:r>
      <w:r w:rsidR="00A24430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1</w:t>
      </w:r>
      <w:r w:rsidR="003E0889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, registering a growth of </w:t>
      </w:r>
      <w:r w:rsidR="00A24430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6</w:t>
      </w:r>
      <w:r w:rsidR="00B52607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5</w:t>
      </w:r>
      <w:r w:rsidR="003E0889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per cent over the </w:t>
      </w:r>
      <w:r w:rsidR="00947E5C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first half of the </w:t>
      </w:r>
      <w:r w:rsidR="003E0889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previous year. </w:t>
      </w:r>
    </w:p>
    <w:p w14:paraId="4817563E" w14:textId="77777777" w:rsidR="001F16CF" w:rsidRPr="004048D3" w:rsidRDefault="001F16CF" w:rsidP="003E4B84">
      <w:pPr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</w:pPr>
    </w:p>
    <w:p w14:paraId="425451A7" w14:textId="772105A5" w:rsidR="0013401C" w:rsidRPr="004048D3" w:rsidRDefault="0013401C" w:rsidP="00BA635A">
      <w:pPr>
        <w:jc w:val="both"/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</w:pPr>
      <w:r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Commenting on the performance of the auto component industry in India</w:t>
      </w:r>
      <w:r w:rsidR="00A02DB2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, </w:t>
      </w:r>
      <w:r w:rsidR="00A02DB2" w:rsidRPr="004048D3">
        <w:rPr>
          <w:rFonts w:asciiTheme="minorHAnsi" w:eastAsia="Calibri" w:hAnsiTheme="minorHAnsi" w:cs="Arial"/>
          <w:b/>
          <w:color w:val="000000"/>
          <w:sz w:val="24"/>
          <w:szCs w:val="24"/>
          <w:bdr w:val="none" w:sz="0" w:space="0" w:color="auto" w:frame="1"/>
          <w:lang w:val="en-GB"/>
        </w:rPr>
        <w:t>Vinnie Mehta, Director General, ACMA</w:t>
      </w:r>
      <w:r w:rsidR="000B7849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1F16CF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said</w:t>
      </w:r>
      <w:r w:rsidR="000B7849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, “</w:t>
      </w:r>
      <w:r w:rsidR="00EB5B9D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Despite the slow offtake </w:t>
      </w:r>
      <w:r w:rsidR="000374C6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in</w:t>
      </w:r>
      <w:r w:rsidR="00EB5B9D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vehicles</w:t>
      </w:r>
      <w:r w:rsidR="000374C6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sales</w:t>
      </w:r>
      <w:r w:rsidR="00EB5B9D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due to supply side </w:t>
      </w:r>
      <w:r w:rsidR="000374C6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issues</w:t>
      </w:r>
      <w:r w:rsidR="00EB5B9D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, especially in the first quarter, the auto component industry demonstrated a remarkable turn-around in the first-half of FY 2021</w:t>
      </w:r>
      <w:r w:rsidR="000374C6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-</w:t>
      </w:r>
      <w:r w:rsidR="00EB5B9D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22</w:t>
      </w:r>
      <w:r w:rsidR="002802B6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.</w:t>
      </w:r>
      <w:r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EB5B9D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With significant growth in all segments – supply to OEMs, Exports as also the aftermarket, the component industry grew to </w:t>
      </w:r>
      <w:r w:rsidR="00EB5B9D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Rs.1.</w:t>
      </w:r>
      <w:r w:rsidR="00EB5B9D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96</w:t>
      </w:r>
      <w:r w:rsidR="00EB5B9D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lakh crore (USD </w:t>
      </w:r>
      <w:r w:rsidR="00EB5B9D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26.6</w:t>
      </w:r>
      <w:r w:rsidR="00EB5B9D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billion</w:t>
      </w:r>
      <w:r w:rsidR="00EB5B9D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) registering 6</w:t>
      </w:r>
      <w:r w:rsidR="00B52607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5</w:t>
      </w:r>
      <w:r w:rsidR="00EB5B9D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per</w:t>
      </w:r>
      <w:r w:rsidR="009B7200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EB5B9D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cent growth. Exports grew </w:t>
      </w:r>
      <w:r w:rsidR="003177EC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by 76 per</w:t>
      </w:r>
      <w:r w:rsidR="009B7200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3177EC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cent </w:t>
      </w:r>
      <w:r w:rsidR="00EB5B9D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to Rs.</w:t>
      </w:r>
      <w:r w:rsidR="003177EC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68.7 lakh crore (USD 9.3 billion) while imports grew by 71 percent to Rs.64.3 lakh crore (USD 8.7 billion) leading to trade surplus</w:t>
      </w:r>
      <w:r w:rsidR="00B52607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of USD 600 million</w:t>
      </w:r>
      <w:r w:rsidR="003177EC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.</w:t>
      </w:r>
      <w:r w:rsidR="00AE7773" w:rsidRPr="008D4C02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T</w:t>
      </w:r>
      <w:r w:rsidR="002802B6" w:rsidRPr="008D4C02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he Aftermark</w:t>
      </w:r>
      <w:r w:rsidR="002802B6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et</w:t>
      </w:r>
      <w:r w:rsidR="00F02D78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,</w:t>
      </w:r>
      <w:r w:rsidR="002802B6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4A0785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estimated </w:t>
      </w:r>
      <w:r w:rsidR="00AE7773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at Rs. 3</w:t>
      </w:r>
      <w:r w:rsidR="003177EC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8</w:t>
      </w:r>
      <w:r w:rsidR="00AE7773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,</w:t>
      </w:r>
      <w:r w:rsidR="003177EC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895</w:t>
      </w:r>
      <w:r w:rsidR="00AE7773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cror</w:t>
      </w:r>
      <w:r w:rsidR="00B52607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e</w:t>
      </w:r>
      <w:r w:rsidR="00AE7773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2802B6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also w</w:t>
      </w:r>
      <w:r w:rsidR="00BA635A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itnessed </w:t>
      </w:r>
      <w:r w:rsidR="009B7200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a </w:t>
      </w:r>
      <w:r w:rsidR="003177EC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steady </w:t>
      </w:r>
      <w:r w:rsidR="00BA635A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growth of </w:t>
      </w:r>
      <w:r w:rsidR="003177EC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25</w:t>
      </w:r>
      <w:r w:rsidR="004A79D5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per cent</w:t>
      </w:r>
      <w:r w:rsidR="004A0785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.</w:t>
      </w:r>
      <w:r w:rsidR="00DB1333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4A0785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Component sales to</w:t>
      </w:r>
      <w:r w:rsidR="00DB1333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OEMs </w:t>
      </w:r>
      <w:r w:rsidR="00A3707C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in the domestic market </w:t>
      </w:r>
      <w:r w:rsidR="003177EC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grew</w:t>
      </w:r>
      <w:r w:rsidR="004A0785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3177EC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by 76 percent</w:t>
      </w:r>
      <w:r w:rsidR="004A0785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to</w:t>
      </w:r>
      <w:r w:rsidR="00A3707C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Rs.</w:t>
      </w:r>
      <w:r w:rsidR="00B134B0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1.53 lakh</w:t>
      </w:r>
      <w:r w:rsidR="00A3707C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crore</w:t>
      </w:r>
      <w:r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”.</w:t>
      </w:r>
    </w:p>
    <w:p w14:paraId="37CD584C" w14:textId="77777777" w:rsidR="0013401C" w:rsidRPr="004048D3" w:rsidRDefault="0013401C" w:rsidP="00292D49">
      <w:pPr>
        <w:jc w:val="both"/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</w:pPr>
    </w:p>
    <w:p w14:paraId="591302A7" w14:textId="3563F4D9" w:rsidR="00B134B0" w:rsidRDefault="00284408" w:rsidP="0013401C">
      <w:pPr>
        <w:jc w:val="both"/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</w:pPr>
      <w:r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Sharing his insights on the </w:t>
      </w:r>
      <w:r w:rsidR="00FF0417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performance of</w:t>
      </w:r>
      <w:r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the</w:t>
      </w:r>
      <w:r w:rsidR="00F01F35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auto</w:t>
      </w:r>
      <w:r w:rsidR="00BA7FDE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component</w:t>
      </w:r>
      <w:r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C32016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industry</w:t>
      </w:r>
      <w:r w:rsidR="0013401C" w:rsidRPr="00B52607">
        <w:rPr>
          <w:rFonts w:asciiTheme="minorHAnsi" w:eastAsia="Calibri" w:hAnsiTheme="minorHAnsi" w:cs="Arial"/>
          <w:bCs/>
          <w:color w:val="000000"/>
          <w:sz w:val="24"/>
          <w:szCs w:val="24"/>
          <w:bdr w:val="none" w:sz="0" w:space="0" w:color="auto" w:frame="1"/>
          <w:lang w:val="en-GB"/>
        </w:rPr>
        <w:t>,</w:t>
      </w:r>
      <w:r w:rsidR="0013401C" w:rsidRPr="004048D3">
        <w:rPr>
          <w:rFonts w:asciiTheme="minorHAnsi" w:eastAsia="Calibri" w:hAnsiTheme="minorHAnsi" w:cs="Arial"/>
          <w:b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proofErr w:type="spellStart"/>
      <w:r w:rsidR="00D019DD">
        <w:rPr>
          <w:rFonts w:asciiTheme="minorHAnsi" w:eastAsia="Calibri" w:hAnsiTheme="minorHAnsi" w:cs="Arial"/>
          <w:b/>
          <w:color w:val="000000"/>
          <w:sz w:val="24"/>
          <w:szCs w:val="24"/>
          <w:bdr w:val="none" w:sz="0" w:space="0" w:color="auto" w:frame="1"/>
          <w:lang w:val="en-GB"/>
        </w:rPr>
        <w:t>Sunjay</w:t>
      </w:r>
      <w:proofErr w:type="spellEnd"/>
      <w:r w:rsidR="00D019DD">
        <w:rPr>
          <w:rFonts w:asciiTheme="minorHAnsi" w:eastAsia="Calibri" w:hAnsiTheme="minorHAnsi" w:cs="Arial"/>
          <w:b/>
          <w:color w:val="000000"/>
          <w:sz w:val="24"/>
          <w:szCs w:val="24"/>
          <w:bdr w:val="none" w:sz="0" w:space="0" w:color="auto" w:frame="1"/>
          <w:lang w:val="en-GB"/>
        </w:rPr>
        <w:t xml:space="preserve"> Kapur</w:t>
      </w:r>
      <w:r w:rsidR="0013401C" w:rsidRPr="004048D3">
        <w:rPr>
          <w:rFonts w:asciiTheme="minorHAnsi" w:eastAsia="Calibri" w:hAnsiTheme="minorHAnsi" w:cs="Arial"/>
          <w:b/>
          <w:color w:val="000000"/>
          <w:sz w:val="24"/>
          <w:szCs w:val="24"/>
          <w:bdr w:val="none" w:sz="0" w:space="0" w:color="auto" w:frame="1"/>
          <w:lang w:val="en-GB"/>
        </w:rPr>
        <w:t>, President, ACMA</w:t>
      </w:r>
      <w:r w:rsidR="0013401C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said, </w:t>
      </w:r>
      <w:r w:rsidR="0013401C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“</w:t>
      </w:r>
      <w:r w:rsidR="00B134B0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Despite resurgence of demand for vehicles</w:t>
      </w:r>
      <w:r w:rsidR="00FF0417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, </w:t>
      </w:r>
      <w:r w:rsidR="00B134B0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supply</w:t>
      </w:r>
      <w:r w:rsidR="009B7200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-</w:t>
      </w:r>
      <w:r w:rsidR="00B134B0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side issues of availability of semiconductors, increasing input costs</w:t>
      </w:r>
      <w:r w:rsidR="009B7200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, </w:t>
      </w:r>
      <w:r w:rsidR="00B134B0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rising logistics costs</w:t>
      </w:r>
      <w:r w:rsidR="009B7200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and availability of containers</w:t>
      </w:r>
      <w:r w:rsidR="00B134B0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, among others, continue </w:t>
      </w:r>
      <w:r w:rsidR="009B7200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to </w:t>
      </w:r>
      <w:r w:rsidR="00B134B0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hamper</w:t>
      </w:r>
      <w:r w:rsidR="00B04D68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B134B0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recovery in the automotive sector. </w:t>
      </w:r>
      <w:r w:rsidR="00D019DD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The auto component industry, in this backdrop, displayed remarkable resilience. </w:t>
      </w:r>
      <w:r w:rsidR="00B04D68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Increased value-addition to meet regulatory compliance, fast recovery </w:t>
      </w:r>
      <w:r w:rsidR="009B7200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in </w:t>
      </w:r>
      <w:r w:rsidR="00B04D68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external markets and traction in the domestic aftermarket market have contributed to the growth of the sector in the first-half of FY 2021-22.</w:t>
      </w:r>
    </w:p>
    <w:p w14:paraId="0E6C54AF" w14:textId="77777777" w:rsidR="00B134B0" w:rsidRDefault="00B134B0" w:rsidP="0013401C">
      <w:pPr>
        <w:jc w:val="both"/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</w:pPr>
    </w:p>
    <w:p w14:paraId="060F5030" w14:textId="093536D9" w:rsidR="00B87B12" w:rsidRDefault="00BA6D25" w:rsidP="0013401C">
      <w:pPr>
        <w:jc w:val="both"/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</w:pPr>
      <w:r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Going forward, w</w:t>
      </w:r>
      <w:r w:rsidR="00FF0417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hilst the </w:t>
      </w:r>
      <w:r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performance of the </w:t>
      </w:r>
      <w:r w:rsidR="006B6B1A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vehicle </w:t>
      </w:r>
      <w:r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industry during the festive season has </w:t>
      </w:r>
      <w:r w:rsidR="006B6B1A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not </w:t>
      </w:r>
      <w:r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been </w:t>
      </w:r>
      <w:r w:rsidR="006B6B1A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on expected lines</w:t>
      </w:r>
      <w:r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, </w:t>
      </w:r>
      <w:r w:rsidR="006B6B1A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however </w:t>
      </w:r>
      <w:r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there are indications that the vehicle demand, in the coming months, will </w:t>
      </w:r>
      <w:r w:rsidR="003C0D97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improve</w:t>
      </w:r>
      <w:r w:rsidR="00E53727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.</w:t>
      </w:r>
      <w:r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This, together with the increased focus by the auto industry on deep-localisation and the recent announcement</w:t>
      </w:r>
      <w:r w:rsidR="00853846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s</w:t>
      </w:r>
      <w:r w:rsidR="00F929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3C0D97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by the </w:t>
      </w:r>
      <w:r w:rsidR="00F929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of </w:t>
      </w:r>
      <w:r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PLI schemes </w:t>
      </w:r>
      <w:r w:rsidR="003C0D97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by the </w:t>
      </w:r>
      <w:r w:rsidR="003C0D97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Government</w:t>
      </w:r>
      <w:r w:rsidR="003C0D97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6B6B1A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on </w:t>
      </w:r>
      <w:r w:rsidR="003C0D97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Advanced Chemistry Cell (</w:t>
      </w:r>
      <w:r w:rsidR="006B6B1A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ACC</w:t>
      </w:r>
      <w:r w:rsidR="003C0D97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)</w:t>
      </w:r>
      <w:r w:rsidR="006B6B1A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Batter</w:t>
      </w:r>
      <w:r w:rsidR="003C0D97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ies</w:t>
      </w:r>
      <w:r w:rsidR="006B6B1A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and Auto &amp; Auto Components </w:t>
      </w:r>
      <w:r w:rsidR="006B6B1A" w:rsidRPr="006B6B1A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will facilitate the creation of a state-</w:t>
      </w:r>
      <w:r w:rsidR="006B6B1A" w:rsidRPr="006B6B1A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lastRenderedPageBreak/>
        <w:t>of-the-art automotive value chain and developing India into an attractive alternative source of high-end auto components</w:t>
      </w:r>
      <w:r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.</w:t>
      </w:r>
      <w:r w:rsidR="00B87B12" w:rsidRPr="004048D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”</w:t>
      </w:r>
    </w:p>
    <w:p w14:paraId="7F643BE4" w14:textId="77777777" w:rsidR="003C0D97" w:rsidRDefault="003C0D97" w:rsidP="00857563">
      <w:pPr>
        <w:jc w:val="both"/>
        <w:rPr>
          <w:rFonts w:asciiTheme="minorHAnsi" w:eastAsia="Calibri" w:hAnsiTheme="minorHAnsi" w:cs="Arial"/>
          <w:iCs/>
          <w:color w:val="000000"/>
          <w:sz w:val="24"/>
          <w:szCs w:val="24"/>
          <w:bdr w:val="none" w:sz="0" w:space="0" w:color="auto" w:frame="1"/>
          <w:lang w:val="en-GB"/>
        </w:rPr>
      </w:pPr>
    </w:p>
    <w:p w14:paraId="31A68DA2" w14:textId="077A83B9" w:rsidR="00F858BF" w:rsidRPr="00857563" w:rsidRDefault="00F858BF" w:rsidP="00857563">
      <w:pPr>
        <w:jc w:val="both"/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</w:pPr>
      <w:r w:rsidRPr="00580D0A">
        <w:rPr>
          <w:rFonts w:asciiTheme="minorHAnsi" w:eastAsia="Calibri" w:hAnsiTheme="minorHAnsi" w:cs="Arial"/>
          <w:iCs/>
          <w:color w:val="000000"/>
          <w:sz w:val="24"/>
          <w:szCs w:val="24"/>
          <w:bdr w:val="none" w:sz="0" w:space="0" w:color="auto" w:frame="1"/>
          <w:lang w:val="en-GB"/>
        </w:rPr>
        <w:t xml:space="preserve">Elaborating on the mood of the industry and outlook for the near to mid-term future, </w:t>
      </w:r>
      <w:r w:rsidR="006B6B1A">
        <w:rPr>
          <w:rFonts w:asciiTheme="minorHAnsi" w:eastAsia="Calibri" w:hAnsiTheme="minorHAnsi" w:cs="Arial"/>
          <w:b/>
          <w:bCs/>
          <w:iCs/>
          <w:color w:val="000000"/>
          <w:sz w:val="24"/>
          <w:szCs w:val="24"/>
          <w:bdr w:val="none" w:sz="0" w:space="0" w:color="auto" w:frame="1"/>
          <w:lang w:val="en-GB"/>
        </w:rPr>
        <w:t>Kapur</w:t>
      </w:r>
      <w:r w:rsidRPr="00580D0A">
        <w:rPr>
          <w:rFonts w:asciiTheme="minorHAnsi" w:eastAsia="Calibri" w:hAnsiTheme="minorHAnsi" w:cs="Arial"/>
          <w:b/>
          <w:bCs/>
          <w:iCs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Pr="00580D0A">
        <w:rPr>
          <w:rFonts w:asciiTheme="minorHAnsi" w:eastAsia="Calibri" w:hAnsiTheme="minorHAnsi" w:cs="Arial"/>
          <w:iCs/>
          <w:color w:val="000000"/>
          <w:sz w:val="24"/>
          <w:szCs w:val="24"/>
          <w:bdr w:val="none" w:sz="0" w:space="0" w:color="auto" w:frame="1"/>
          <w:lang w:val="en-GB"/>
        </w:rPr>
        <w:t>mentioned,</w:t>
      </w:r>
      <w:r w:rsidRPr="008575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“According to </w:t>
      </w:r>
      <w:r w:rsidR="00853846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a recent survey of</w:t>
      </w:r>
      <w:r w:rsidRPr="008575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ACMA leadership, </w:t>
      </w:r>
      <w:r w:rsidRPr="008D4C02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despite concerns </w:t>
      </w:r>
      <w:r w:rsidR="00580D0A" w:rsidRPr="008D4C02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of</w:t>
      </w:r>
      <w:r w:rsidRPr="008D4C02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580D0A" w:rsidRPr="008D4C02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another </w:t>
      </w:r>
      <w:r w:rsidRPr="008D4C02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wave of pandemic</w:t>
      </w:r>
      <w:r w:rsidR="00580D0A" w:rsidRPr="008D4C02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,</w:t>
      </w:r>
      <w:r w:rsidRPr="008D4C02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857563" w:rsidRPr="008D4C02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the industry is </w:t>
      </w:r>
      <w:r w:rsidR="00F92963" w:rsidRPr="008D4C02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cautiously</w:t>
      </w:r>
      <w:r w:rsidRPr="008D4C02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optimistic about the pr</w:t>
      </w:r>
      <w:r w:rsidRPr="008575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ospects of the Indian economy </w:t>
      </w:r>
      <w:r w:rsidR="00BE1EC3" w:rsidRPr="008575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and the automotive </w:t>
      </w:r>
      <w:r w:rsidR="00857563" w:rsidRPr="008575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sector</w:t>
      </w:r>
      <w:r w:rsidR="00BE1EC3" w:rsidRPr="008575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Pr="008575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for FY</w:t>
      </w:r>
      <w:r w:rsidR="00BE1EC3" w:rsidRPr="008575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20</w:t>
      </w:r>
      <w:r w:rsidR="00853846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21-</w:t>
      </w:r>
      <w:r w:rsidRPr="008575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22. </w:t>
      </w:r>
      <w:r w:rsidR="00853846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Auto component manufacturers have now</w:t>
      </w:r>
      <w:r w:rsidR="003C0D97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,</w:t>
      </w:r>
      <w:r w:rsidR="00853846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by and large</w:t>
      </w:r>
      <w:r w:rsidR="003C0D97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,</w:t>
      </w:r>
      <w:r w:rsidR="00853846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recovered and the investment cycle has also commenced</w:t>
      </w:r>
      <w:r w:rsidRPr="008575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. </w:t>
      </w:r>
      <w:r w:rsidR="00601037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On the subject of auto component industry</w:t>
      </w:r>
      <w:r w:rsidR="00FD060D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preparing to be future-ready</w:t>
      </w:r>
      <w:r w:rsidR="00853846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, 60 percent of the respondents mentioned that they were </w:t>
      </w:r>
      <w:r w:rsidR="009B7200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already equipped</w:t>
      </w:r>
      <w:r w:rsidR="00853846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 xml:space="preserve"> to be part of the EV supply chain, while the rest would be ready in the next two-odd years</w:t>
      </w:r>
      <w:r w:rsidR="00857563" w:rsidRPr="00857563"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  <w:t>.”</w:t>
      </w:r>
    </w:p>
    <w:p w14:paraId="1483EC00" w14:textId="77777777" w:rsidR="00404014" w:rsidRPr="004048D3" w:rsidRDefault="00404014" w:rsidP="00292D49">
      <w:pPr>
        <w:jc w:val="both"/>
        <w:rPr>
          <w:rFonts w:asciiTheme="minorHAnsi" w:eastAsia="Calibri" w:hAnsiTheme="minorHAnsi" w:cs="Arial"/>
          <w:i/>
          <w:color w:val="000000"/>
          <w:sz w:val="24"/>
          <w:szCs w:val="24"/>
          <w:bdr w:val="none" w:sz="0" w:space="0" w:color="auto" w:frame="1"/>
          <w:lang w:val="en-GB"/>
        </w:rPr>
      </w:pPr>
    </w:p>
    <w:p w14:paraId="24017612" w14:textId="784DA7C7" w:rsidR="00A02DB2" w:rsidRPr="004048D3" w:rsidRDefault="00A02DB2" w:rsidP="00A02DB2">
      <w:pPr>
        <w:spacing w:after="120"/>
        <w:jc w:val="both"/>
        <w:rPr>
          <w:rFonts w:asciiTheme="minorHAnsi" w:hAnsiTheme="minorHAnsi" w:cs="Arial"/>
          <w:b/>
          <w:sz w:val="24"/>
          <w:szCs w:val="24"/>
          <w:lang w:val="en-GB"/>
        </w:rPr>
      </w:pPr>
      <w:r w:rsidRPr="004048D3">
        <w:rPr>
          <w:rFonts w:asciiTheme="minorHAnsi" w:hAnsiTheme="minorHAnsi" w:cs="Arial"/>
          <w:b/>
          <w:sz w:val="24"/>
          <w:szCs w:val="24"/>
          <w:lang w:val="en-GB"/>
        </w:rPr>
        <w:t xml:space="preserve">Key findings of the ACMA </w:t>
      </w:r>
      <w:r w:rsidR="00A25FDA" w:rsidRPr="004048D3">
        <w:rPr>
          <w:rFonts w:asciiTheme="minorHAnsi" w:hAnsiTheme="minorHAnsi" w:cs="Arial"/>
          <w:b/>
          <w:sz w:val="24"/>
          <w:szCs w:val="24"/>
          <w:lang w:val="en-GB"/>
        </w:rPr>
        <w:t xml:space="preserve">Industry Performance Review </w:t>
      </w:r>
      <w:r w:rsidR="00BA7FDE" w:rsidRPr="004048D3">
        <w:rPr>
          <w:rFonts w:asciiTheme="minorHAnsi" w:hAnsiTheme="minorHAnsi" w:cs="Arial"/>
          <w:b/>
          <w:sz w:val="24"/>
          <w:szCs w:val="24"/>
          <w:lang w:val="en-GB"/>
        </w:rPr>
        <w:t xml:space="preserve">for H1 </w:t>
      </w:r>
      <w:r w:rsidR="00CB0346">
        <w:rPr>
          <w:rFonts w:asciiTheme="minorHAnsi" w:hAnsiTheme="minorHAnsi" w:cs="Arial"/>
          <w:b/>
          <w:sz w:val="24"/>
          <w:szCs w:val="24"/>
          <w:lang w:val="en-GB"/>
        </w:rPr>
        <w:t>2021-22</w:t>
      </w:r>
      <w:r w:rsidRPr="004048D3">
        <w:rPr>
          <w:rFonts w:asciiTheme="minorHAnsi" w:hAnsiTheme="minorHAnsi" w:cs="Arial"/>
          <w:b/>
          <w:sz w:val="24"/>
          <w:szCs w:val="24"/>
          <w:lang w:val="en-GB"/>
        </w:rPr>
        <w:t xml:space="preserve">: </w:t>
      </w:r>
    </w:p>
    <w:p w14:paraId="0D0390AC" w14:textId="24945876" w:rsidR="00684F45" w:rsidRPr="00516E9E" w:rsidRDefault="00A02DB2" w:rsidP="00516E9E">
      <w:pPr>
        <w:pStyle w:val="ListParagraph"/>
        <w:numPr>
          <w:ilvl w:val="0"/>
          <w:numId w:val="2"/>
        </w:numPr>
        <w:jc w:val="both"/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</w:pPr>
      <w:r w:rsidRPr="004048D3">
        <w:rPr>
          <w:rFonts w:asciiTheme="minorHAnsi" w:hAnsiTheme="minorHAnsi" w:cs="Arial"/>
          <w:b/>
          <w:bCs/>
          <w:sz w:val="24"/>
          <w:szCs w:val="24"/>
          <w:lang w:val="en-GB"/>
        </w:rPr>
        <w:t>Exports</w:t>
      </w:r>
      <w:r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: Exports of auto components </w:t>
      </w:r>
      <w:r w:rsidR="00CB0346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grew </w:t>
      </w:r>
      <w:r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by </w:t>
      </w:r>
      <w:r w:rsidR="00CB0346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76</w:t>
      </w:r>
      <w:r w:rsidR="00BA7FDE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percent to Rs.</w:t>
      </w:r>
      <w:r w:rsidR="00CB0346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68,746</w:t>
      </w:r>
      <w:r w:rsidR="00BA7FDE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crore (USD </w:t>
      </w:r>
      <w:r w:rsidR="00CB0346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9.3</w:t>
      </w:r>
      <w:r w:rsidR="00BA7FDE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billion)</w:t>
      </w:r>
      <w:r w:rsidR="005806B1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in H1 </w:t>
      </w:r>
      <w:r w:rsidR="00507402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2021</w:t>
      </w:r>
      <w:r w:rsidR="00CB0346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-22</w:t>
      </w:r>
      <w:r w:rsidR="005806B1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from Rs </w:t>
      </w:r>
      <w:r w:rsidR="00CB0346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39,003</w:t>
      </w:r>
      <w:r w:rsidR="005806B1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crore (USD </w:t>
      </w:r>
      <w:r w:rsidR="00CB0346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5.2</w:t>
      </w:r>
      <w:r w:rsidR="005806B1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billion) in H1 </w:t>
      </w:r>
      <w:r w:rsidR="00F02D78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2020</w:t>
      </w:r>
      <w:r w:rsidR="00CB0346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-21</w:t>
      </w:r>
      <w:r w:rsidR="007A4AB2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. </w:t>
      </w:r>
      <w:r w:rsidR="00684F45" w:rsidRPr="00516E9E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Europe accounting for 31 per cent of exports, saw a</w:t>
      </w:r>
      <w:r w:rsidR="00CB0346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n</w:t>
      </w:r>
      <w:r w:rsidR="00684F45" w:rsidRPr="00516E9E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CB0346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increase of 81</w:t>
      </w:r>
      <w:r w:rsidR="00684F45" w:rsidRPr="00516E9E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percent, while North America and Asia, accounting for 3</w:t>
      </w:r>
      <w:r w:rsidR="00CB0346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2</w:t>
      </w:r>
      <w:r w:rsidR="00684F45" w:rsidRPr="00516E9E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per cent and 2</w:t>
      </w:r>
      <w:r w:rsidR="00CB0346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5</w:t>
      </w:r>
      <w:r w:rsidR="00684F45" w:rsidRPr="00516E9E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per cent respectively also registered </w:t>
      </w:r>
      <w:r w:rsidR="00CB0346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increase</w:t>
      </w:r>
      <w:r w:rsidR="00684F45" w:rsidRPr="00516E9E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of </w:t>
      </w:r>
      <w:r w:rsidR="00CB0346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81</w:t>
      </w:r>
      <w:r w:rsidR="00684F45" w:rsidRPr="00516E9E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and </w:t>
      </w:r>
      <w:r w:rsidR="00CB0346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73 </w:t>
      </w:r>
      <w:r w:rsidR="00684F45" w:rsidRPr="00516E9E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per cent</w:t>
      </w:r>
      <w:r w:rsidR="00580D0A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respectively</w:t>
      </w:r>
      <w:r w:rsidR="00684F45" w:rsidRPr="00516E9E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.</w:t>
      </w:r>
    </w:p>
    <w:p w14:paraId="7CE46FC5" w14:textId="77777777" w:rsidR="00A02DB2" w:rsidRPr="004048D3" w:rsidRDefault="00A02DB2" w:rsidP="00A02DB2">
      <w:pPr>
        <w:jc w:val="both"/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</w:pPr>
    </w:p>
    <w:p w14:paraId="62A0C0B7" w14:textId="49CE5594" w:rsidR="008B24CD" w:rsidRPr="004048D3" w:rsidRDefault="00A02DB2" w:rsidP="008B24CD">
      <w:pPr>
        <w:pStyle w:val="ListParagraph"/>
        <w:numPr>
          <w:ilvl w:val="0"/>
          <w:numId w:val="2"/>
        </w:numPr>
        <w:jc w:val="both"/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</w:pPr>
      <w:r w:rsidRPr="004048D3">
        <w:rPr>
          <w:rFonts w:asciiTheme="minorHAnsi" w:hAnsiTheme="minorHAnsi" w:cs="Arial"/>
          <w:b/>
          <w:bCs/>
          <w:sz w:val="24"/>
          <w:szCs w:val="24"/>
          <w:lang w:val="en-GB"/>
        </w:rPr>
        <w:t>Imports</w:t>
      </w:r>
      <w:r w:rsidRPr="004048D3">
        <w:rPr>
          <w:rFonts w:asciiTheme="minorHAnsi" w:hAnsiTheme="minorHAnsi" w:cs="Arial"/>
          <w:bCs/>
          <w:sz w:val="24"/>
          <w:szCs w:val="24"/>
          <w:lang w:val="en-GB"/>
        </w:rPr>
        <w:t xml:space="preserve">: </w:t>
      </w:r>
      <w:r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Impo</w:t>
      </w:r>
      <w:r w:rsidR="008B24CD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rts of auto components </w:t>
      </w:r>
      <w:r w:rsidR="0004574F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grew</w:t>
      </w:r>
      <w:r w:rsidR="005806B1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8B24CD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by </w:t>
      </w:r>
      <w:r w:rsidR="0004574F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71</w:t>
      </w:r>
      <w:r w:rsidR="005E34DC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8B24CD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per cent </w:t>
      </w:r>
      <w:r w:rsidR="0004574F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from</w:t>
      </w:r>
      <w:r w:rsidR="000F5257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Rs.</w:t>
      </w:r>
      <w:r w:rsidR="007B09BB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37,710</w:t>
      </w:r>
      <w:r w:rsidR="009975EB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0F5257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crore </w:t>
      </w:r>
      <w:r w:rsidR="0057268C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(USD </w:t>
      </w:r>
      <w:r w:rsidR="007B09BB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5.0</w:t>
      </w:r>
      <w:r w:rsidR="000F5257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billion) </w:t>
      </w:r>
      <w:r w:rsidR="005806B1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in H1</w:t>
      </w:r>
      <w:r w:rsidR="007B09BB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2020-21</w:t>
      </w:r>
      <w:r w:rsidR="005806B1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04574F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to</w:t>
      </w:r>
      <w:r w:rsidR="008B24CD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Rs.</w:t>
      </w:r>
      <w:r w:rsidR="0004574F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64,310</w:t>
      </w:r>
      <w:r w:rsidR="008B24CD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crore</w:t>
      </w:r>
      <w:r w:rsidR="000F5257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7914C0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(USD </w:t>
      </w:r>
      <w:r w:rsidR="007B09BB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8.</w:t>
      </w:r>
      <w:r w:rsidR="0004574F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7</w:t>
      </w:r>
      <w:r w:rsidR="009975EB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7914C0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billion)</w:t>
      </w:r>
      <w:r w:rsidR="008B24CD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in </w:t>
      </w:r>
      <w:r w:rsidR="00030233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H1 </w:t>
      </w:r>
      <w:r w:rsidR="007B09BB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202</w:t>
      </w:r>
      <w:r w:rsidR="0004574F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1-22</w:t>
      </w:r>
      <w:r w:rsidR="000F5257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.</w:t>
      </w:r>
      <w:r w:rsidR="008B24CD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Asia accounted for 6</w:t>
      </w:r>
      <w:r w:rsidR="0004574F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3</w:t>
      </w:r>
      <w:r w:rsidR="008B24CD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per</w:t>
      </w:r>
      <w:r w:rsidR="0004574F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8B24CD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cent of imports followed by Europe and North America, with </w:t>
      </w:r>
      <w:r w:rsidR="0004574F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29</w:t>
      </w:r>
      <w:r w:rsidR="008B24CD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per cent and </w:t>
      </w:r>
      <w:r w:rsidR="0004574F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7</w:t>
      </w:r>
      <w:r w:rsidR="008B24CD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per cent respectively.</w:t>
      </w:r>
      <w:r w:rsidR="007B09BB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Imports from all geographies witnessed steep </w:t>
      </w:r>
      <w:r w:rsidR="0004574F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increase reflecting </w:t>
      </w:r>
      <w:r w:rsidR="00055D04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growth in domestic manufacturing</w:t>
      </w:r>
      <w:r w:rsidR="00FE6B6E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activities.</w:t>
      </w:r>
    </w:p>
    <w:p w14:paraId="4C0E18E7" w14:textId="77777777" w:rsidR="008B24CD" w:rsidRPr="004048D3" w:rsidRDefault="00A02DB2" w:rsidP="003A3995">
      <w:pPr>
        <w:pStyle w:val="ListParagraph"/>
        <w:ind w:left="360"/>
        <w:jc w:val="both"/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</w:pPr>
      <w:r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</w:p>
    <w:p w14:paraId="53DE2963" w14:textId="035A209E" w:rsidR="00B87B12" w:rsidRPr="004048D3" w:rsidRDefault="00A02DB2" w:rsidP="004E08A8">
      <w:pPr>
        <w:pStyle w:val="ListParagraph"/>
        <w:numPr>
          <w:ilvl w:val="0"/>
          <w:numId w:val="2"/>
        </w:numPr>
        <w:jc w:val="both"/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</w:pPr>
      <w:r w:rsidRPr="004048D3">
        <w:rPr>
          <w:rFonts w:asciiTheme="minorHAnsi" w:hAnsiTheme="minorHAnsi" w:cs="Arial"/>
          <w:b/>
          <w:bCs/>
          <w:sz w:val="24"/>
          <w:szCs w:val="24"/>
          <w:lang w:val="en-GB"/>
        </w:rPr>
        <w:t>Aftermarket</w:t>
      </w:r>
      <w:r w:rsidRPr="004048D3">
        <w:rPr>
          <w:rFonts w:asciiTheme="minorHAnsi" w:hAnsiTheme="minorHAnsi" w:cs="Arial"/>
          <w:bCs/>
          <w:sz w:val="24"/>
          <w:szCs w:val="24"/>
          <w:lang w:val="en-GB"/>
        </w:rPr>
        <w:t xml:space="preserve">: </w:t>
      </w:r>
      <w:r w:rsidR="006601F9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T</w:t>
      </w:r>
      <w:r w:rsidR="005E34DC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he aftermarket in </w:t>
      </w:r>
      <w:r w:rsidR="00030233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H1 </w:t>
      </w:r>
      <w:r w:rsidR="005E34DC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20</w:t>
      </w:r>
      <w:r w:rsidR="007B09BB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21</w:t>
      </w:r>
      <w:r w:rsidR="00055D04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-22</w:t>
      </w:r>
      <w:r w:rsidR="007B09BB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witnessed </w:t>
      </w:r>
      <w:r w:rsidR="00055D04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a </w:t>
      </w:r>
      <w:r w:rsidR="00C43517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gr</w:t>
      </w:r>
      <w:r w:rsidR="007B09BB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o</w:t>
      </w:r>
      <w:r w:rsidR="00C43517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w</w:t>
      </w:r>
      <w:r w:rsidR="007B09BB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th</w:t>
      </w:r>
      <w:r w:rsidR="00C43517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7B09BB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of</w:t>
      </w:r>
      <w:r w:rsidR="00C43517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055D04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2</w:t>
      </w:r>
      <w:r w:rsidR="007B09BB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5</w:t>
      </w:r>
      <w:r w:rsidR="006601F9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3E4B84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per</w:t>
      </w:r>
      <w:r w:rsidR="00B87B12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3E4B84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cent</w:t>
      </w:r>
      <w:r w:rsidR="00C43517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to Rs </w:t>
      </w:r>
      <w:r w:rsidR="00055D04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38,895</w:t>
      </w:r>
      <w:r w:rsidR="000F5257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crore </w:t>
      </w:r>
      <w:r w:rsidR="00FA6196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(USD </w:t>
      </w:r>
      <w:r w:rsidR="00055D04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5.3</w:t>
      </w:r>
      <w:r w:rsidR="007914C0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billion)</w:t>
      </w:r>
      <w:r w:rsidR="00C43517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from Rs.</w:t>
      </w:r>
      <w:r w:rsidR="00055D04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31,116</w:t>
      </w:r>
      <w:r w:rsidR="00030233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crore</w:t>
      </w:r>
      <w:r w:rsidR="003A3995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7914C0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(</w:t>
      </w:r>
      <w:r w:rsidR="000F5257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USD </w:t>
      </w:r>
      <w:r w:rsidR="00055D04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4.1</w:t>
      </w:r>
      <w:r w:rsidR="007914C0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billion)</w:t>
      </w:r>
      <w:r w:rsidR="003E4B84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3A3995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in</w:t>
      </w:r>
      <w:r w:rsidR="00030233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  <w:r w:rsidR="007B09BB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H1 2020</w:t>
      </w:r>
      <w:r w:rsidR="00055D04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-21</w:t>
      </w:r>
      <w:r w:rsidR="003A3995" w:rsidRPr="004048D3">
        <w:rPr>
          <w:rFonts w:asciiTheme="minorHAnsi" w:eastAsia="Calibri" w:hAnsiTheme="minorHAnsi" w:cs="Arial"/>
          <w:color w:val="000000"/>
          <w:sz w:val="24"/>
          <w:szCs w:val="24"/>
          <w:bdr w:val="none" w:sz="0" w:space="0" w:color="auto" w:frame="1"/>
          <w:lang w:val="en-GB"/>
        </w:rPr>
        <w:t>.</w:t>
      </w:r>
      <w:r w:rsidR="003A3995" w:rsidRPr="004048D3">
        <w:rPr>
          <w:rFonts w:asciiTheme="minorHAnsi" w:hAnsiTheme="minorHAnsi"/>
          <w:lang w:val="en-GB"/>
        </w:rPr>
        <w:t xml:space="preserve"> </w:t>
      </w:r>
    </w:p>
    <w:p w14:paraId="0CE6A225" w14:textId="77777777" w:rsidR="00B87B12" w:rsidRPr="004048D3" w:rsidRDefault="00B87B12" w:rsidP="00D10360">
      <w:pPr>
        <w:jc w:val="center"/>
        <w:rPr>
          <w:rFonts w:asciiTheme="minorHAnsi" w:eastAsia="Calibri" w:hAnsiTheme="minorHAnsi" w:cs="Arial"/>
          <w:b/>
          <w:color w:val="000000"/>
          <w:sz w:val="24"/>
          <w:szCs w:val="24"/>
          <w:bdr w:val="none" w:sz="0" w:space="0" w:color="auto" w:frame="1"/>
          <w:lang w:val="en-GB"/>
        </w:rPr>
      </w:pPr>
    </w:p>
    <w:p w14:paraId="53C8D7B7" w14:textId="376E1300" w:rsidR="00A3190A" w:rsidRPr="003C0D97" w:rsidRDefault="00A02DB2" w:rsidP="003C0D97">
      <w:pPr>
        <w:rPr>
          <w:rFonts w:asciiTheme="minorHAnsi" w:hAnsiTheme="minorHAnsi" w:cs="Arial"/>
          <w:sz w:val="24"/>
          <w:lang w:val="en-GB"/>
        </w:rPr>
      </w:pPr>
      <w:r w:rsidRPr="004048D3">
        <w:rPr>
          <w:rFonts w:asciiTheme="minorHAnsi" w:hAnsiTheme="minorHAnsi" w:cs="Arial"/>
          <w:sz w:val="24"/>
          <w:lang w:val="en-GB"/>
        </w:rPr>
        <w:t xml:space="preserve">Note: </w:t>
      </w:r>
      <w:r w:rsidR="003C0D97" w:rsidRPr="003C0D97">
        <w:rPr>
          <w:rFonts w:asciiTheme="minorHAnsi" w:hAnsiTheme="minorHAnsi" w:cs="Arial"/>
          <w:i/>
          <w:sz w:val="24"/>
          <w:szCs w:val="24"/>
          <w:lang w:val="en-GB"/>
        </w:rPr>
        <w:t xml:space="preserve">The </w:t>
      </w:r>
      <w:r w:rsidR="00A3190A" w:rsidRPr="004048D3">
        <w:rPr>
          <w:rFonts w:asciiTheme="minorHAnsi" w:hAnsiTheme="minorHAnsi" w:cs="Arial"/>
          <w:i/>
          <w:sz w:val="24"/>
          <w:szCs w:val="24"/>
          <w:lang w:val="en-GB"/>
        </w:rPr>
        <w:t xml:space="preserve">Turnover data represents the entire supplies from the auto component industry (ACMA members and non-members) to the on-road and off-road vehicle manufacturers and the aftermarket in India as well as exports. This also includes component supplies captive to the OEMs and by the unorganized and smaller players. </w:t>
      </w:r>
    </w:p>
    <w:p w14:paraId="5B086CB5" w14:textId="77777777" w:rsidR="00A02DB2" w:rsidRPr="004048D3" w:rsidRDefault="004E46FD" w:rsidP="00A02DB2">
      <w:pPr>
        <w:pStyle w:val="Heading3"/>
        <w:rPr>
          <w:rFonts w:asciiTheme="minorHAnsi" w:hAnsiTheme="minorHAnsi" w:cs="Arial"/>
          <w:i w:val="0"/>
          <w:sz w:val="24"/>
          <w:szCs w:val="24"/>
          <w:lang w:val="en-GB"/>
        </w:rPr>
      </w:pPr>
      <w:r w:rsidRPr="004048D3">
        <w:rPr>
          <w:rFonts w:asciiTheme="minorHAnsi" w:hAnsiTheme="minorHAnsi" w:cs="Arial"/>
          <w:i w:val="0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1058740C" wp14:editId="2C68AA6E">
                <wp:simplePos x="0" y="0"/>
                <wp:positionH relativeFrom="column">
                  <wp:posOffset>0</wp:posOffset>
                </wp:positionH>
                <wp:positionV relativeFrom="paragraph">
                  <wp:posOffset>182244</wp:posOffset>
                </wp:positionV>
                <wp:extent cx="5852160" cy="0"/>
                <wp:effectExtent l="0" t="0" r="3429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6E09B" id="Straight Connector 2" o:spid="_x0000_s1026" style="position:absolute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4.35pt" to="460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" o:allowincell="f"/>
            </w:pict>
          </mc:Fallback>
        </mc:AlternateContent>
      </w:r>
    </w:p>
    <w:p w14:paraId="4BA613CA" w14:textId="0FCC8C41" w:rsidR="007B09BB" w:rsidRPr="003C0D97" w:rsidRDefault="007B09BB" w:rsidP="007B09BB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4048D3">
        <w:rPr>
          <w:rFonts w:asciiTheme="minorHAnsi" w:hAnsiTheme="minorHAnsi" w:cstheme="minorHAnsi"/>
          <w:b/>
          <w:sz w:val="22"/>
          <w:szCs w:val="22"/>
          <w:lang w:val="en-GB"/>
        </w:rPr>
        <w:t>About ACMA:</w:t>
      </w:r>
      <w:r w:rsidR="003C0D97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Pr="004048D3">
        <w:rPr>
          <w:rFonts w:asciiTheme="minorHAnsi" w:eastAsia="Arial" w:hAnsiTheme="minorHAnsi" w:cstheme="minorHAnsi"/>
          <w:sz w:val="22"/>
          <w:szCs w:val="22"/>
          <w:lang w:val="en-GB"/>
        </w:rPr>
        <w:t>The Automotive Component Manufacturers Association of India (ACMA) is the apex body representing the interest of the Indian Auto Component Industry. Its membership of over 8</w:t>
      </w:r>
      <w:r w:rsidR="00B52607">
        <w:rPr>
          <w:rFonts w:asciiTheme="minorHAnsi" w:eastAsia="Arial" w:hAnsiTheme="minorHAnsi" w:cstheme="minorHAnsi"/>
          <w:sz w:val="22"/>
          <w:szCs w:val="22"/>
          <w:lang w:val="en-GB"/>
        </w:rPr>
        <w:t>0</w:t>
      </w:r>
      <w:r w:rsidRPr="004048D3">
        <w:rPr>
          <w:rFonts w:asciiTheme="minorHAnsi" w:eastAsia="Arial" w:hAnsiTheme="minorHAnsi" w:cstheme="minorHAnsi"/>
          <w:sz w:val="22"/>
          <w:szCs w:val="22"/>
          <w:lang w:val="en-GB"/>
        </w:rPr>
        <w:t>0 manufacturers contributes more than 90% of the auto component industry’s turnover in the organized sector. ACMA is an ISO 9001:2015 Certified Association.</w:t>
      </w:r>
    </w:p>
    <w:p w14:paraId="3D520300" w14:textId="77777777" w:rsidR="007B09BB" w:rsidRPr="004048D3" w:rsidRDefault="007B09BB" w:rsidP="007B09BB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0E49EFF1" w14:textId="77777777" w:rsidR="007B09BB" w:rsidRPr="004048D3" w:rsidRDefault="007B09BB" w:rsidP="007B09B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4048D3">
        <w:rPr>
          <w:rFonts w:asciiTheme="minorHAnsi" w:hAnsiTheme="minorHAnsi" w:cstheme="minorHAnsi"/>
          <w:b/>
          <w:bCs/>
          <w:sz w:val="22"/>
          <w:szCs w:val="22"/>
          <w:lang w:val="en-GB"/>
        </w:rPr>
        <w:t>For further details:</w:t>
      </w:r>
    </w:p>
    <w:tbl>
      <w:tblPr>
        <w:tblW w:w="99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995"/>
      </w:tblGrid>
      <w:tr w:rsidR="007B09BB" w:rsidRPr="004048D3" w14:paraId="2D172CF7" w14:textId="77777777" w:rsidTr="00BF3025">
        <w:trPr>
          <w:trHeight w:val="752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6BB54" w14:textId="77777777" w:rsidR="007B09BB" w:rsidRPr="004048D3" w:rsidRDefault="007B09BB" w:rsidP="00BF3025">
            <w:pPr>
              <w:autoSpaceDE w:val="0"/>
              <w:autoSpaceDN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4048D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ACMA</w:t>
            </w:r>
          </w:p>
          <w:p w14:paraId="5CCD69FE" w14:textId="47F99298" w:rsidR="007B09BB" w:rsidRPr="004048D3" w:rsidRDefault="007B09BB" w:rsidP="00BF3025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4048D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Upender</w:t>
            </w:r>
            <w:proofErr w:type="spellEnd"/>
            <w:r w:rsidRPr="004048D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Singh</w:t>
            </w:r>
            <w:r w:rsidR="00055D04" w:rsidRPr="004048D3">
              <w:rPr>
                <w:rFonts w:asciiTheme="minorHAnsi" w:eastAsia="Calibri" w:hAnsiTheme="minorHAnsi" w:cstheme="minorHAnsi"/>
                <w:color w:val="000000"/>
                <w:lang w:val="en-GB"/>
              </w:rPr>
              <w:t>|</w:t>
            </w:r>
            <w:r w:rsidR="00055D0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4048D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9901259169</w:t>
            </w:r>
          </w:p>
          <w:p w14:paraId="4F68255E" w14:textId="77777777" w:rsidR="007B09BB" w:rsidRPr="004048D3" w:rsidRDefault="00720C8B" w:rsidP="00BF3025">
            <w:pPr>
              <w:autoSpaceDE w:val="0"/>
              <w:autoSpaceDN w:val="0"/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GB"/>
              </w:rPr>
            </w:pPr>
            <w:hyperlink r:id="rId8" w:history="1">
              <w:r w:rsidR="007B09BB" w:rsidRPr="004048D3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GB"/>
                </w:rPr>
                <w:t>Upender.singh@acma.in</w:t>
              </w:r>
            </w:hyperlink>
            <w:r w:rsidR="007B09BB" w:rsidRPr="004048D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9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E56CC" w14:textId="77777777" w:rsidR="007B09BB" w:rsidRPr="004048D3" w:rsidRDefault="007B09BB" w:rsidP="00BF3025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4048D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Archetype</w:t>
            </w:r>
          </w:p>
          <w:p w14:paraId="4904AD2C" w14:textId="77777777" w:rsidR="007B09BB" w:rsidRPr="004048D3" w:rsidRDefault="007B09BB" w:rsidP="00BF3025">
            <w:pPr>
              <w:pStyle w:val="MediumGrid21"/>
              <w:spacing w:line="276" w:lineRule="auto"/>
              <w:jc w:val="both"/>
              <w:rPr>
                <w:rFonts w:asciiTheme="minorHAnsi" w:eastAsia="Calibri" w:hAnsiTheme="minorHAnsi" w:cstheme="minorHAnsi"/>
                <w:color w:val="000000"/>
                <w:lang w:val="en-GB"/>
              </w:rPr>
            </w:pPr>
            <w:proofErr w:type="spellStart"/>
            <w:r w:rsidRPr="004048D3">
              <w:rPr>
                <w:rFonts w:asciiTheme="minorHAnsi" w:eastAsia="Calibri" w:hAnsiTheme="minorHAnsi" w:cstheme="minorHAnsi"/>
                <w:color w:val="000000"/>
                <w:lang w:val="en-GB"/>
              </w:rPr>
              <w:t>Laveena</w:t>
            </w:r>
            <w:proofErr w:type="spellEnd"/>
            <w:r w:rsidRPr="004048D3">
              <w:rPr>
                <w:rFonts w:asciiTheme="minorHAnsi" w:eastAsia="Calibri" w:hAnsiTheme="minorHAnsi" w:cstheme="minorHAnsi"/>
                <w:color w:val="000000"/>
                <w:lang w:val="en-GB"/>
              </w:rPr>
              <w:t xml:space="preserve"> Vohra| 9711682237| </w:t>
            </w:r>
            <w:hyperlink r:id="rId9" w:history="1">
              <w:r w:rsidRPr="004048D3">
                <w:rPr>
                  <w:rStyle w:val="Hyperlink"/>
                  <w:rFonts w:asciiTheme="minorHAnsi" w:eastAsia="Calibri" w:hAnsiTheme="minorHAnsi" w:cstheme="minorHAnsi"/>
                  <w:lang w:val="en-GB"/>
                </w:rPr>
                <w:t>Laveena.vohra@archetype.co</w:t>
              </w:r>
            </w:hyperlink>
            <w:r w:rsidRPr="004048D3">
              <w:rPr>
                <w:rFonts w:asciiTheme="minorHAnsi" w:eastAsia="Calibri" w:hAnsiTheme="minorHAnsi" w:cstheme="minorHAnsi"/>
                <w:color w:val="000000"/>
                <w:lang w:val="en-GB"/>
              </w:rPr>
              <w:t xml:space="preserve"> </w:t>
            </w:r>
          </w:p>
          <w:p w14:paraId="53743B63" w14:textId="77777777" w:rsidR="007B09BB" w:rsidRPr="004048D3" w:rsidRDefault="007B09BB" w:rsidP="00BF3025">
            <w:pPr>
              <w:pStyle w:val="MediumGrid21"/>
              <w:spacing w:line="276" w:lineRule="auto"/>
              <w:rPr>
                <w:rFonts w:asciiTheme="minorHAnsi" w:eastAsia="Calibri" w:hAnsiTheme="minorHAnsi" w:cstheme="minorHAnsi"/>
                <w:color w:val="000000"/>
                <w:lang w:val="en-GB"/>
              </w:rPr>
            </w:pPr>
            <w:proofErr w:type="spellStart"/>
            <w:r w:rsidRPr="004048D3">
              <w:rPr>
                <w:rFonts w:asciiTheme="minorHAnsi" w:eastAsia="Calibri" w:hAnsiTheme="minorHAnsi" w:cstheme="minorHAnsi"/>
                <w:color w:val="000000"/>
                <w:lang w:val="en-GB"/>
              </w:rPr>
              <w:t>Swetank</w:t>
            </w:r>
            <w:proofErr w:type="spellEnd"/>
            <w:r w:rsidRPr="004048D3">
              <w:rPr>
                <w:rFonts w:asciiTheme="minorHAnsi" w:eastAsia="Calibri" w:hAnsiTheme="minorHAnsi" w:cstheme="minorHAnsi"/>
                <w:color w:val="000000"/>
                <w:lang w:val="en-GB"/>
              </w:rPr>
              <w:t xml:space="preserve"> KumarI</w:t>
            </w:r>
            <w:r w:rsidRPr="004048D3">
              <w:rPr>
                <w:rFonts w:asciiTheme="minorHAnsi" w:hAnsiTheme="minorHAnsi" w:cstheme="minorHAnsi"/>
                <w:color w:val="292B2F"/>
                <w:lang w:val="en-GB" w:eastAsia="en-IN"/>
              </w:rPr>
              <w:t xml:space="preserve">9818564004 </w:t>
            </w:r>
            <w:r w:rsidRPr="004048D3">
              <w:rPr>
                <w:rFonts w:asciiTheme="minorHAnsi" w:eastAsia="Calibri" w:hAnsiTheme="minorHAnsi" w:cstheme="minorHAnsi"/>
                <w:color w:val="000000"/>
                <w:lang w:val="en-GB"/>
              </w:rPr>
              <w:t>|</w:t>
            </w:r>
            <w:hyperlink r:id="rId10" w:history="1">
              <w:r w:rsidRPr="004048D3">
                <w:rPr>
                  <w:rStyle w:val="Hyperlink"/>
                  <w:rFonts w:asciiTheme="minorHAnsi" w:eastAsia="Calibri" w:hAnsiTheme="minorHAnsi" w:cstheme="minorHAnsi"/>
                  <w:lang w:val="en-GB"/>
                </w:rPr>
                <w:t>Shwetank.kumar@archetype.co</w:t>
              </w:r>
            </w:hyperlink>
            <w:r w:rsidRPr="004048D3">
              <w:rPr>
                <w:rFonts w:asciiTheme="minorHAnsi" w:eastAsia="Calibri" w:hAnsiTheme="minorHAnsi" w:cstheme="minorHAnsi"/>
                <w:color w:val="000000"/>
                <w:lang w:val="en-GB"/>
              </w:rPr>
              <w:t xml:space="preserve"> </w:t>
            </w:r>
          </w:p>
        </w:tc>
      </w:tr>
    </w:tbl>
    <w:p w14:paraId="613F2A93" w14:textId="77777777" w:rsidR="00803D1D" w:rsidRPr="004048D3" w:rsidRDefault="00803D1D" w:rsidP="003C0D97">
      <w:pPr>
        <w:jc w:val="both"/>
        <w:rPr>
          <w:rFonts w:asciiTheme="minorHAnsi" w:hAnsiTheme="minorHAnsi" w:cs="Arial"/>
          <w:sz w:val="22"/>
          <w:szCs w:val="22"/>
          <w:lang w:val="en-GB"/>
        </w:rPr>
      </w:pPr>
    </w:p>
    <w:sectPr w:rsidR="00803D1D" w:rsidRPr="004048D3" w:rsidSect="00EE521D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89691" w14:textId="77777777" w:rsidR="00720C8B" w:rsidRDefault="00720C8B" w:rsidP="00E275E2">
      <w:r>
        <w:separator/>
      </w:r>
    </w:p>
  </w:endnote>
  <w:endnote w:type="continuationSeparator" w:id="0">
    <w:p w14:paraId="6C279694" w14:textId="77777777" w:rsidR="00720C8B" w:rsidRDefault="00720C8B" w:rsidP="00E2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DAE01" w14:textId="77777777" w:rsidR="0022275F" w:rsidRDefault="0022275F" w:rsidP="00A268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C93827" w14:textId="77777777" w:rsidR="0022275F" w:rsidRDefault="0022275F" w:rsidP="00CE63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740DD" w14:textId="77777777" w:rsidR="0022275F" w:rsidRPr="00CE638E" w:rsidRDefault="0022275F" w:rsidP="00CE638E">
    <w:pPr>
      <w:pStyle w:val="Footer"/>
      <w:framePr w:wrap="around" w:vAnchor="text" w:hAnchor="page" w:x="10621" w:y="54"/>
      <w:rPr>
        <w:rStyle w:val="PageNumber"/>
        <w:rFonts w:ascii="Arial" w:hAnsi="Arial" w:cs="Arial"/>
      </w:rPr>
    </w:pPr>
    <w:r w:rsidRPr="00CE638E">
      <w:rPr>
        <w:rStyle w:val="PageNumber"/>
        <w:rFonts w:ascii="Arial" w:hAnsi="Arial" w:cs="Arial"/>
      </w:rPr>
      <w:fldChar w:fldCharType="begin"/>
    </w:r>
    <w:r w:rsidRPr="00CE638E">
      <w:rPr>
        <w:rStyle w:val="PageNumber"/>
        <w:rFonts w:ascii="Arial" w:hAnsi="Arial" w:cs="Arial"/>
      </w:rPr>
      <w:instrText xml:space="preserve">PAGE  </w:instrText>
    </w:r>
    <w:r w:rsidRPr="00CE638E">
      <w:rPr>
        <w:rStyle w:val="PageNumber"/>
        <w:rFonts w:ascii="Arial" w:hAnsi="Arial" w:cs="Arial"/>
      </w:rPr>
      <w:fldChar w:fldCharType="separate"/>
    </w:r>
    <w:r w:rsidR="00684F45">
      <w:rPr>
        <w:rStyle w:val="PageNumber"/>
        <w:rFonts w:ascii="Arial" w:hAnsi="Arial" w:cs="Arial"/>
        <w:noProof/>
      </w:rPr>
      <w:t>3</w:t>
    </w:r>
    <w:r w:rsidRPr="00CE638E">
      <w:rPr>
        <w:rStyle w:val="PageNumber"/>
        <w:rFonts w:ascii="Arial" w:hAnsi="Arial" w:cs="Arial"/>
      </w:rPr>
      <w:fldChar w:fldCharType="end"/>
    </w:r>
  </w:p>
  <w:p w14:paraId="24100FE4" w14:textId="77777777" w:rsidR="0022275F" w:rsidRDefault="0022275F" w:rsidP="00CE638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F24D9" w14:textId="77777777" w:rsidR="00720C8B" w:rsidRDefault="00720C8B" w:rsidP="00E275E2">
      <w:r>
        <w:separator/>
      </w:r>
    </w:p>
  </w:footnote>
  <w:footnote w:type="continuationSeparator" w:id="0">
    <w:p w14:paraId="4F00AF46" w14:textId="77777777" w:rsidR="00720C8B" w:rsidRDefault="00720C8B" w:rsidP="00E27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A5D3A"/>
    <w:multiLevelType w:val="hybridMultilevel"/>
    <w:tmpl w:val="7FEE4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92BEF"/>
    <w:multiLevelType w:val="hybridMultilevel"/>
    <w:tmpl w:val="3368A440"/>
    <w:lvl w:ilvl="0" w:tplc="CD12B3F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C5E2526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DA8E3A2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A368C70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393E79F6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5301956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666A420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86AB320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47CBBD4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21004C"/>
    <w:multiLevelType w:val="hybridMultilevel"/>
    <w:tmpl w:val="8E60867C"/>
    <w:lvl w:ilvl="0" w:tplc="1034FAB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E71518"/>
    <w:multiLevelType w:val="hybridMultilevel"/>
    <w:tmpl w:val="C5106BCC"/>
    <w:lvl w:ilvl="0" w:tplc="11FA0DB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EB4365E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BF8DFAC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8B0AC5E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8E25A4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664C664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348C82C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2502554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D70DB26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F95D94"/>
    <w:multiLevelType w:val="hybridMultilevel"/>
    <w:tmpl w:val="273C9860"/>
    <w:lvl w:ilvl="0" w:tplc="557E3C14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4944C5"/>
    <w:multiLevelType w:val="hybridMultilevel"/>
    <w:tmpl w:val="ED7AF590"/>
    <w:lvl w:ilvl="0" w:tplc="F020A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D05A6"/>
    <w:multiLevelType w:val="hybridMultilevel"/>
    <w:tmpl w:val="D77A0EDC"/>
    <w:lvl w:ilvl="0" w:tplc="1034FAB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837749"/>
    <w:multiLevelType w:val="hybridMultilevel"/>
    <w:tmpl w:val="1E7E16D4"/>
    <w:lvl w:ilvl="0" w:tplc="F01630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CA1C11"/>
    <w:multiLevelType w:val="hybridMultilevel"/>
    <w:tmpl w:val="C09E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CB50BD"/>
    <w:multiLevelType w:val="hybridMultilevel"/>
    <w:tmpl w:val="61080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yMzA2tjQyMrK0MDVR0lEKTi0uzszPAykwqQUAQ8COmCwAAAA="/>
  </w:docVars>
  <w:rsids>
    <w:rsidRoot w:val="00A02DB2"/>
    <w:rsid w:val="00016EE2"/>
    <w:rsid w:val="00030233"/>
    <w:rsid w:val="000374C6"/>
    <w:rsid w:val="0004574F"/>
    <w:rsid w:val="00055D04"/>
    <w:rsid w:val="00076A86"/>
    <w:rsid w:val="000832B4"/>
    <w:rsid w:val="000A6962"/>
    <w:rsid w:val="000B647E"/>
    <w:rsid w:val="000B7849"/>
    <w:rsid w:val="000C2CAF"/>
    <w:rsid w:val="000E70AA"/>
    <w:rsid w:val="000F5257"/>
    <w:rsid w:val="000F57DB"/>
    <w:rsid w:val="001000C2"/>
    <w:rsid w:val="001000E5"/>
    <w:rsid w:val="0010634F"/>
    <w:rsid w:val="001176F9"/>
    <w:rsid w:val="0013401C"/>
    <w:rsid w:val="001548DD"/>
    <w:rsid w:val="001728DA"/>
    <w:rsid w:val="00184B67"/>
    <w:rsid w:val="001971A9"/>
    <w:rsid w:val="001A5876"/>
    <w:rsid w:val="001B1686"/>
    <w:rsid w:val="001C5C2F"/>
    <w:rsid w:val="001E131F"/>
    <w:rsid w:val="001E276E"/>
    <w:rsid w:val="001F0E97"/>
    <w:rsid w:val="001F16CF"/>
    <w:rsid w:val="002141AF"/>
    <w:rsid w:val="0022275F"/>
    <w:rsid w:val="00240DF0"/>
    <w:rsid w:val="0024525B"/>
    <w:rsid w:val="00246CDD"/>
    <w:rsid w:val="00251252"/>
    <w:rsid w:val="002802B6"/>
    <w:rsid w:val="00284408"/>
    <w:rsid w:val="0029072C"/>
    <w:rsid w:val="00292D49"/>
    <w:rsid w:val="00295103"/>
    <w:rsid w:val="0031420B"/>
    <w:rsid w:val="003177EC"/>
    <w:rsid w:val="00340962"/>
    <w:rsid w:val="00347898"/>
    <w:rsid w:val="00385903"/>
    <w:rsid w:val="003A3995"/>
    <w:rsid w:val="003B1ABC"/>
    <w:rsid w:val="003C0D97"/>
    <w:rsid w:val="003D41BE"/>
    <w:rsid w:val="003E0889"/>
    <w:rsid w:val="003E4B84"/>
    <w:rsid w:val="003E5C47"/>
    <w:rsid w:val="003E5FA7"/>
    <w:rsid w:val="00402555"/>
    <w:rsid w:val="00404014"/>
    <w:rsid w:val="004048D3"/>
    <w:rsid w:val="00420904"/>
    <w:rsid w:val="00427AF9"/>
    <w:rsid w:val="004303CC"/>
    <w:rsid w:val="00444F88"/>
    <w:rsid w:val="00480026"/>
    <w:rsid w:val="00483D31"/>
    <w:rsid w:val="004A0785"/>
    <w:rsid w:val="004A4180"/>
    <w:rsid w:val="004A5650"/>
    <w:rsid w:val="004A79D5"/>
    <w:rsid w:val="004C39B4"/>
    <w:rsid w:val="004C46CA"/>
    <w:rsid w:val="004D6AE6"/>
    <w:rsid w:val="004E08A8"/>
    <w:rsid w:val="004E46FD"/>
    <w:rsid w:val="004F774C"/>
    <w:rsid w:val="004F7C15"/>
    <w:rsid w:val="00507402"/>
    <w:rsid w:val="005165BB"/>
    <w:rsid w:val="00516E9E"/>
    <w:rsid w:val="005324FC"/>
    <w:rsid w:val="00535AE2"/>
    <w:rsid w:val="0055136C"/>
    <w:rsid w:val="00552121"/>
    <w:rsid w:val="0057268C"/>
    <w:rsid w:val="005806B1"/>
    <w:rsid w:val="00580D0A"/>
    <w:rsid w:val="00591673"/>
    <w:rsid w:val="0059580A"/>
    <w:rsid w:val="005A328F"/>
    <w:rsid w:val="005A4AA7"/>
    <w:rsid w:val="005B55D5"/>
    <w:rsid w:val="005C1996"/>
    <w:rsid w:val="005D3EB3"/>
    <w:rsid w:val="005D6691"/>
    <w:rsid w:val="005E34DC"/>
    <w:rsid w:val="005E3DF7"/>
    <w:rsid w:val="00601037"/>
    <w:rsid w:val="00603497"/>
    <w:rsid w:val="00605FF2"/>
    <w:rsid w:val="00617CB7"/>
    <w:rsid w:val="006342D6"/>
    <w:rsid w:val="00652914"/>
    <w:rsid w:val="006601F9"/>
    <w:rsid w:val="00681BBF"/>
    <w:rsid w:val="00684F45"/>
    <w:rsid w:val="00696877"/>
    <w:rsid w:val="006B6B1A"/>
    <w:rsid w:val="006C00B2"/>
    <w:rsid w:val="006F379C"/>
    <w:rsid w:val="00713CA5"/>
    <w:rsid w:val="00714A2F"/>
    <w:rsid w:val="007173A8"/>
    <w:rsid w:val="00720C8B"/>
    <w:rsid w:val="00787EC2"/>
    <w:rsid w:val="007914C0"/>
    <w:rsid w:val="007A4AB2"/>
    <w:rsid w:val="007A6E8F"/>
    <w:rsid w:val="007A75DA"/>
    <w:rsid w:val="007B0406"/>
    <w:rsid w:val="007B09BB"/>
    <w:rsid w:val="007E79FC"/>
    <w:rsid w:val="00803D1D"/>
    <w:rsid w:val="00806EA1"/>
    <w:rsid w:val="00813281"/>
    <w:rsid w:val="008250AC"/>
    <w:rsid w:val="008469DC"/>
    <w:rsid w:val="00850930"/>
    <w:rsid w:val="00853846"/>
    <w:rsid w:val="00857563"/>
    <w:rsid w:val="00873A06"/>
    <w:rsid w:val="008850AE"/>
    <w:rsid w:val="00887E6E"/>
    <w:rsid w:val="008A0573"/>
    <w:rsid w:val="008B24CD"/>
    <w:rsid w:val="008C7278"/>
    <w:rsid w:val="008D2047"/>
    <w:rsid w:val="008D4C02"/>
    <w:rsid w:val="008F1711"/>
    <w:rsid w:val="008F75E8"/>
    <w:rsid w:val="009116F6"/>
    <w:rsid w:val="009238E4"/>
    <w:rsid w:val="00937DC8"/>
    <w:rsid w:val="00947E5C"/>
    <w:rsid w:val="00954E99"/>
    <w:rsid w:val="009605D9"/>
    <w:rsid w:val="00972E2B"/>
    <w:rsid w:val="00992633"/>
    <w:rsid w:val="00993FCB"/>
    <w:rsid w:val="00994F9A"/>
    <w:rsid w:val="009975EB"/>
    <w:rsid w:val="009B5302"/>
    <w:rsid w:val="009B7200"/>
    <w:rsid w:val="009E6A47"/>
    <w:rsid w:val="009E78CB"/>
    <w:rsid w:val="009F24E0"/>
    <w:rsid w:val="009F7F54"/>
    <w:rsid w:val="00A02DB2"/>
    <w:rsid w:val="00A0557B"/>
    <w:rsid w:val="00A24430"/>
    <w:rsid w:val="00A25FDA"/>
    <w:rsid w:val="00A2687F"/>
    <w:rsid w:val="00A3190A"/>
    <w:rsid w:val="00A3707C"/>
    <w:rsid w:val="00A47E5B"/>
    <w:rsid w:val="00A520CE"/>
    <w:rsid w:val="00A71B51"/>
    <w:rsid w:val="00A743DE"/>
    <w:rsid w:val="00A80A5B"/>
    <w:rsid w:val="00A81E26"/>
    <w:rsid w:val="00A96040"/>
    <w:rsid w:val="00AA7D2C"/>
    <w:rsid w:val="00AC0189"/>
    <w:rsid w:val="00AD1398"/>
    <w:rsid w:val="00AD4154"/>
    <w:rsid w:val="00AD6070"/>
    <w:rsid w:val="00AE7773"/>
    <w:rsid w:val="00B04D68"/>
    <w:rsid w:val="00B10B69"/>
    <w:rsid w:val="00B12A71"/>
    <w:rsid w:val="00B130BC"/>
    <w:rsid w:val="00B134B0"/>
    <w:rsid w:val="00B1533D"/>
    <w:rsid w:val="00B44685"/>
    <w:rsid w:val="00B449E3"/>
    <w:rsid w:val="00B52607"/>
    <w:rsid w:val="00B6459F"/>
    <w:rsid w:val="00B65AD1"/>
    <w:rsid w:val="00B7744A"/>
    <w:rsid w:val="00B87B12"/>
    <w:rsid w:val="00BA3A05"/>
    <w:rsid w:val="00BA635A"/>
    <w:rsid w:val="00BA64AF"/>
    <w:rsid w:val="00BA6D25"/>
    <w:rsid w:val="00BA7FDE"/>
    <w:rsid w:val="00BD7ABE"/>
    <w:rsid w:val="00BE1EC3"/>
    <w:rsid w:val="00BE39D8"/>
    <w:rsid w:val="00BE4D30"/>
    <w:rsid w:val="00BF3476"/>
    <w:rsid w:val="00C00376"/>
    <w:rsid w:val="00C021E2"/>
    <w:rsid w:val="00C16855"/>
    <w:rsid w:val="00C27D7C"/>
    <w:rsid w:val="00C32016"/>
    <w:rsid w:val="00C43517"/>
    <w:rsid w:val="00C47D76"/>
    <w:rsid w:val="00C61371"/>
    <w:rsid w:val="00C7798A"/>
    <w:rsid w:val="00C930EC"/>
    <w:rsid w:val="00C933D7"/>
    <w:rsid w:val="00C9468B"/>
    <w:rsid w:val="00CB0346"/>
    <w:rsid w:val="00CC3A28"/>
    <w:rsid w:val="00CC4C53"/>
    <w:rsid w:val="00CD1603"/>
    <w:rsid w:val="00CE57E1"/>
    <w:rsid w:val="00CE638E"/>
    <w:rsid w:val="00CE781C"/>
    <w:rsid w:val="00D00D14"/>
    <w:rsid w:val="00D019DD"/>
    <w:rsid w:val="00D075DF"/>
    <w:rsid w:val="00D10360"/>
    <w:rsid w:val="00D17B33"/>
    <w:rsid w:val="00D2146E"/>
    <w:rsid w:val="00D47096"/>
    <w:rsid w:val="00D613D6"/>
    <w:rsid w:val="00D617DD"/>
    <w:rsid w:val="00D64702"/>
    <w:rsid w:val="00D67A89"/>
    <w:rsid w:val="00D83A42"/>
    <w:rsid w:val="00DA2455"/>
    <w:rsid w:val="00DB1333"/>
    <w:rsid w:val="00DC6F25"/>
    <w:rsid w:val="00E05B2D"/>
    <w:rsid w:val="00E275E2"/>
    <w:rsid w:val="00E53727"/>
    <w:rsid w:val="00E538C6"/>
    <w:rsid w:val="00E543AC"/>
    <w:rsid w:val="00E61FD9"/>
    <w:rsid w:val="00E945A9"/>
    <w:rsid w:val="00EB5B9D"/>
    <w:rsid w:val="00EE3EC4"/>
    <w:rsid w:val="00EE521D"/>
    <w:rsid w:val="00F01F35"/>
    <w:rsid w:val="00F02D78"/>
    <w:rsid w:val="00F12AB2"/>
    <w:rsid w:val="00F461F1"/>
    <w:rsid w:val="00F53CCA"/>
    <w:rsid w:val="00F55543"/>
    <w:rsid w:val="00F858BF"/>
    <w:rsid w:val="00F92963"/>
    <w:rsid w:val="00FA6196"/>
    <w:rsid w:val="00FA76D9"/>
    <w:rsid w:val="00FB5F59"/>
    <w:rsid w:val="00FC30F0"/>
    <w:rsid w:val="00FD060D"/>
    <w:rsid w:val="00FE6B6E"/>
    <w:rsid w:val="00FE71B5"/>
    <w:rsid w:val="00FF0417"/>
    <w:rsid w:val="00FF0DBA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C33BAC"/>
  <w15:docId w15:val="{F5FAFCED-D473-CE41-AECC-D32BD4B8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A02DB2"/>
    <w:pPr>
      <w:keepNext/>
      <w:spacing w:after="120"/>
      <w:jc w:val="both"/>
      <w:outlineLvl w:val="2"/>
    </w:pPr>
    <w:rPr>
      <w:rFonts w:ascii="Tahoma" w:hAnsi="Tahoma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02DB2"/>
    <w:rPr>
      <w:rFonts w:ascii="Tahoma" w:eastAsia="Times New Roman" w:hAnsi="Tahoma" w:cs="Times New Roman"/>
      <w:b/>
      <w:i/>
      <w:szCs w:val="20"/>
    </w:rPr>
  </w:style>
  <w:style w:type="paragraph" w:styleId="Header">
    <w:name w:val="header"/>
    <w:basedOn w:val="Normal"/>
    <w:link w:val="HeaderChar"/>
    <w:rsid w:val="00A02D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02DB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Bullet List,FooterText,Paragraphe de liste1,List Paragraph1,numbered,Bulletr List Paragraph,List Paragraph2,列出段落,列出段落1,List Paragraph21,Listeafsnit1,Parágrafo da Lista1,リスト段落1,Párrafo de lista1,List Paragraph11,Listenabsatz,リスト段落,Plan,Fo"/>
    <w:basedOn w:val="Normal"/>
    <w:link w:val="ListParagraphChar"/>
    <w:uiPriority w:val="34"/>
    <w:qFormat/>
    <w:rsid w:val="00A02DB2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rsid w:val="00A02DB2"/>
    <w:pPr>
      <w:jc w:val="both"/>
    </w:pPr>
    <w:rPr>
      <w:rFonts w:ascii="Tahoma" w:hAnsi="Tahoma"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A02DB2"/>
    <w:rPr>
      <w:rFonts w:ascii="Tahoma" w:eastAsia="Times New Roman" w:hAnsi="Tahoma" w:cs="Times New Roman"/>
      <w:szCs w:val="20"/>
    </w:rPr>
  </w:style>
  <w:style w:type="character" w:styleId="Hyperlink">
    <w:name w:val="Hyperlink"/>
    <w:uiPriority w:val="99"/>
    <w:rsid w:val="00A02D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DB2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27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5E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E638E"/>
  </w:style>
  <w:style w:type="paragraph" w:customStyle="1" w:styleId="MediumGrid21">
    <w:name w:val="Medium Grid 21"/>
    <w:uiPriority w:val="1"/>
    <w:qFormat/>
    <w:rsid w:val="007B09B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ullet List Char,FooterText Char,Paragraphe de liste1 Char,List Paragraph1 Char,numbered Char,Bulletr List Paragraph Char,List Paragraph2 Char,列出段落 Char,列出段落1 Char,List Paragraph21 Char,Listeafsnit1 Char,Parágrafo da Lista1 Char"/>
    <w:link w:val="ListParagraph"/>
    <w:uiPriority w:val="34"/>
    <w:locked/>
    <w:rsid w:val="006B6B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ender.singh@acma.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hwetank.kumar@archetype.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veena.vohra@archetype.c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Anshika</dc:creator>
  <cp:keywords/>
  <dc:description/>
  <cp:lastModifiedBy>Vinnie Mehta</cp:lastModifiedBy>
  <cp:revision>13</cp:revision>
  <cp:lastPrinted>2021-12-15T10:59:00Z</cp:lastPrinted>
  <dcterms:created xsi:type="dcterms:W3CDTF">2020-12-14T08:01:00Z</dcterms:created>
  <dcterms:modified xsi:type="dcterms:W3CDTF">2021-12-16T12:52:00Z</dcterms:modified>
</cp:coreProperties>
</file>